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A07C" w14:textId="25412CD8" w:rsidR="00C85971" w:rsidRPr="000D715C" w:rsidRDefault="00C85971" w:rsidP="00C85971">
      <w:pPr>
        <w:pStyle w:val="Annexetitre"/>
      </w:pPr>
      <w:r w:rsidRPr="000D715C">
        <w:t>ALLEGATO VIII – Istruzioni per la compilazione dei modelli per l</w:t>
      </w:r>
      <w:r w:rsidR="005424B9" w:rsidRPr="000D715C">
        <w:t>'</w:t>
      </w:r>
      <w:r w:rsidRPr="000D715C">
        <w:t>informativa</w:t>
      </w:r>
      <w:r w:rsidR="00D54D58" w:rsidRPr="000D715C">
        <w:br/>
      </w:r>
      <w:r w:rsidRPr="000D715C">
        <w:t>sui fondi propri</w:t>
      </w:r>
    </w:p>
    <w:p w14:paraId="2B58A8D0" w14:textId="77777777" w:rsidR="00C85971" w:rsidRPr="000D715C" w:rsidRDefault="00C85971" w:rsidP="00C85971">
      <w:pPr>
        <w:rPr>
          <w:rFonts w:ascii="Times New Roman" w:hAnsi="Times New Roman" w:cs="Times New Roman"/>
          <w:sz w:val="24"/>
        </w:rPr>
      </w:pPr>
    </w:p>
    <w:p w14:paraId="0350FF78" w14:textId="77777777" w:rsidR="00C85971" w:rsidRPr="000D715C" w:rsidRDefault="00C85971" w:rsidP="00C85971">
      <w:pPr>
        <w:rPr>
          <w:rFonts w:ascii="Times New Roman" w:hAnsi="Times New Roman" w:cs="Times New Roman"/>
          <w:b/>
          <w:bCs/>
          <w:sz w:val="24"/>
        </w:rPr>
      </w:pPr>
      <w:r w:rsidRPr="000D715C">
        <w:rPr>
          <w:rFonts w:ascii="Times New Roman" w:hAnsi="Times New Roman"/>
          <w:b/>
          <w:sz w:val="24"/>
        </w:rPr>
        <w:t>Modello EU CC1: composizione dei fondi propri regolamentari</w:t>
      </w:r>
    </w:p>
    <w:p w14:paraId="55655225" w14:textId="77777777" w:rsidR="00C85971" w:rsidRPr="000D715C" w:rsidRDefault="00C85971" w:rsidP="00C85971">
      <w:pPr>
        <w:rPr>
          <w:rFonts w:ascii="Times New Roman" w:hAnsi="Times New Roman" w:cs="Times New Roman"/>
          <w:sz w:val="24"/>
        </w:rPr>
      </w:pPr>
    </w:p>
    <w:p w14:paraId="2B0D2E16" w14:textId="474F6A28" w:rsidR="00C85971" w:rsidRPr="000D715C" w:rsidRDefault="00C85971" w:rsidP="00C85971">
      <w:pPr>
        <w:numPr>
          <w:ilvl w:val="0"/>
          <w:numId w:val="2"/>
        </w:numPr>
        <w:spacing w:before="120" w:after="120"/>
        <w:ind w:left="357" w:hanging="357"/>
        <w:jc w:val="both"/>
        <w:rPr>
          <w:rFonts w:ascii="Times New Roman" w:hAnsi="Times New Roman" w:cs="Times New Roman"/>
          <w:bCs/>
          <w:sz w:val="24"/>
        </w:rPr>
      </w:pPr>
      <w:r w:rsidRPr="000D715C">
        <w:rPr>
          <w:rFonts w:ascii="Times New Roman" w:hAnsi="Times New Roman"/>
          <w:sz w:val="24"/>
        </w:rPr>
        <w:t>Gli enti pubblicano le informazioni di cui all</w:t>
      </w:r>
      <w:r w:rsidR="005424B9" w:rsidRPr="000D715C">
        <w:rPr>
          <w:rFonts w:ascii="Times New Roman" w:hAnsi="Times New Roman"/>
          <w:sz w:val="24"/>
        </w:rPr>
        <w:t>'</w:t>
      </w:r>
      <w:r w:rsidRPr="000D715C">
        <w:rPr>
          <w:rFonts w:ascii="Times New Roman" w:hAnsi="Times New Roman"/>
          <w:sz w:val="24"/>
        </w:rPr>
        <w:t>articolo 437, lettere a), d), e) e f), del regolamento (UE) n. 575/2013 (</w:t>
      </w:r>
      <w:r w:rsidR="005424B9" w:rsidRPr="000D715C">
        <w:rPr>
          <w:rFonts w:ascii="Times New Roman" w:hAnsi="Times New Roman"/>
          <w:sz w:val="24"/>
        </w:rPr>
        <w:t>"</w:t>
      </w:r>
      <w:r w:rsidRPr="000D715C">
        <w:rPr>
          <w:rFonts w:ascii="Times New Roman" w:hAnsi="Times New Roman"/>
          <w:sz w:val="24"/>
        </w:rPr>
        <w:t>CRR</w:t>
      </w:r>
      <w:r w:rsidR="005424B9" w:rsidRPr="000D715C">
        <w:rPr>
          <w:rFonts w:ascii="Times New Roman" w:hAnsi="Times New Roman"/>
          <w:sz w:val="24"/>
        </w:rPr>
        <w:t>"</w:t>
      </w:r>
      <w:r w:rsidRPr="000D715C">
        <w:rPr>
          <w:rFonts w:ascii="Times New Roman" w:hAnsi="Times New Roman"/>
          <w:sz w:val="24"/>
        </w:rPr>
        <w:t>)</w:t>
      </w:r>
      <w:r w:rsidRPr="000D715C">
        <w:rPr>
          <w:rStyle w:val="FootnoteReference"/>
          <w:rFonts w:cs="Times New Roman"/>
          <w:color w:val="000000"/>
        </w:rPr>
        <w:footnoteReference w:id="1"/>
      </w:r>
      <w:r w:rsidRPr="000D715C">
        <w:rPr>
          <w:rFonts w:ascii="Times New Roman" w:hAnsi="Times New Roman"/>
          <w:sz w:val="24"/>
        </w:rPr>
        <w:t xml:space="preserve"> seguendo le istruzioni fornite di seguito in questo allegato per compilare il modello EU CC1 di cui all</w:t>
      </w:r>
      <w:r w:rsidR="005424B9" w:rsidRPr="000D715C">
        <w:rPr>
          <w:rFonts w:ascii="Times New Roman" w:hAnsi="Times New Roman"/>
          <w:sz w:val="24"/>
        </w:rPr>
        <w:t>'</w:t>
      </w:r>
      <w:r w:rsidRPr="000D715C">
        <w:rPr>
          <w:rFonts w:ascii="Times New Roman" w:hAnsi="Times New Roman"/>
          <w:sz w:val="24"/>
        </w:rPr>
        <w:t>allegato VII delle soluzioni IT dell</w:t>
      </w:r>
      <w:r w:rsidR="005424B9" w:rsidRPr="000D715C">
        <w:rPr>
          <w:rFonts w:ascii="Times New Roman" w:hAnsi="Times New Roman"/>
          <w:sz w:val="24"/>
        </w:rPr>
        <w:t>'</w:t>
      </w:r>
      <w:r w:rsidRPr="000D715C">
        <w:rPr>
          <w:rFonts w:ascii="Times New Roman" w:hAnsi="Times New Roman"/>
          <w:sz w:val="24"/>
        </w:rPr>
        <w:t>ABE.</w:t>
      </w:r>
    </w:p>
    <w:p w14:paraId="33ADC7E7" w14:textId="77777777" w:rsidR="00C85971" w:rsidRPr="000D715C" w:rsidRDefault="00C85971" w:rsidP="00C85971">
      <w:pPr>
        <w:numPr>
          <w:ilvl w:val="0"/>
          <w:numId w:val="2"/>
        </w:numPr>
        <w:spacing w:before="120" w:after="120"/>
        <w:ind w:left="357" w:hanging="357"/>
        <w:jc w:val="both"/>
        <w:rPr>
          <w:rFonts w:ascii="Times New Roman" w:hAnsi="Times New Roman" w:cs="Times New Roman"/>
          <w:bCs/>
          <w:sz w:val="24"/>
        </w:rPr>
      </w:pPr>
      <w:r w:rsidRPr="000D715C">
        <w:rPr>
          <w:rFonts w:ascii="Times New Roman" w:hAnsi="Times New Roman"/>
          <w:sz w:val="24"/>
        </w:rPr>
        <w:t>Ai fini del modello EU CC1, le rettifiche regolamentari comprendono le deduzioni dai fondi propri e i filtri prudenziali.</w:t>
      </w:r>
    </w:p>
    <w:p w14:paraId="2CDAAE74" w14:textId="77777777" w:rsidR="00C85971" w:rsidRPr="000D715C" w:rsidRDefault="00C85971" w:rsidP="00C85971">
      <w:pPr>
        <w:numPr>
          <w:ilvl w:val="0"/>
          <w:numId w:val="2"/>
        </w:numPr>
        <w:spacing w:before="120" w:after="120"/>
        <w:ind w:left="357" w:hanging="357"/>
        <w:jc w:val="both"/>
        <w:rPr>
          <w:rFonts w:ascii="Times New Roman" w:hAnsi="Times New Roman" w:cs="Times New Roman"/>
          <w:bCs/>
          <w:sz w:val="24"/>
        </w:rPr>
      </w:pPr>
      <w:r w:rsidRPr="000D715C">
        <w:rPr>
          <w:rFonts w:ascii="Times New Roman" w:hAnsi="Times New Roman"/>
          <w:sz w:val="24"/>
        </w:rPr>
        <w:t>Gli enti sono tenuti a compilare la colonna b) di questo modello per indicare la fonte di ogni input principale, che deve contenere un rimando alle righe corrispondenti del modello EU CC2.</w:t>
      </w:r>
    </w:p>
    <w:p w14:paraId="5C636132" w14:textId="77777777" w:rsidR="00C85971" w:rsidRPr="000D715C" w:rsidRDefault="00C85971" w:rsidP="00C85971">
      <w:pPr>
        <w:numPr>
          <w:ilvl w:val="0"/>
          <w:numId w:val="2"/>
        </w:numPr>
        <w:spacing w:before="120" w:after="120"/>
        <w:jc w:val="both"/>
        <w:rPr>
          <w:rFonts w:ascii="Times New Roman" w:hAnsi="Times New Roman" w:cs="Times New Roman"/>
          <w:bCs/>
          <w:sz w:val="24"/>
        </w:rPr>
      </w:pPr>
      <w:r w:rsidRPr="000D715C">
        <w:rPr>
          <w:rFonts w:ascii="Times New Roman" w:hAnsi="Times New Roman"/>
          <w:sz w:val="24"/>
        </w:rPr>
        <w:t>Gli enti includono nella descrizione che accompagna il modello una descrizione di tutte le restrizioni applicate al calcolo dei fondi propri conformemente al CRR e degli strumenti, dei filtri prudenziali e delle deduzioni cui si applicano tali restrizioni. Includono inoltre una spiegazione esauriente della base di calcolo dei coefficienti patrimoniali ove tali coefficienti patrimoniali siano calcolati utilizzando elementi dei fondi propri stabiliti su base diversa da quella prevista nel CRR.</w:t>
      </w:r>
    </w:p>
    <w:p w14:paraId="6B9498D2" w14:textId="77777777" w:rsidR="00C85971" w:rsidRPr="000D715C" w:rsidRDefault="00C85971" w:rsidP="00C85971">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C85971" w:rsidRPr="000D715C" w14:paraId="28456029" w14:textId="77777777" w:rsidTr="00D819DE">
        <w:trPr>
          <w:trHeight w:val="395"/>
        </w:trPr>
        <w:tc>
          <w:tcPr>
            <w:tcW w:w="8414" w:type="dxa"/>
            <w:gridSpan w:val="2"/>
            <w:shd w:val="clear" w:color="auto" w:fill="D9D9D9" w:themeFill="background1" w:themeFillShade="D9"/>
          </w:tcPr>
          <w:p w14:paraId="3EB7B271" w14:textId="77777777" w:rsidR="00C85971" w:rsidRPr="000D715C" w:rsidRDefault="00C85971" w:rsidP="00D819DE">
            <w:pPr>
              <w:pStyle w:val="TableTitle"/>
              <w:spacing w:before="0" w:after="0"/>
              <w:jc w:val="left"/>
              <w:rPr>
                <w:rFonts w:ascii="Times New Roman" w:hAnsi="Times New Roman"/>
                <w:noProof w:val="0"/>
                <w:sz w:val="24"/>
                <w:szCs w:val="24"/>
              </w:rPr>
            </w:pPr>
            <w:r w:rsidRPr="000D715C">
              <w:rPr>
                <w:rFonts w:ascii="Times New Roman" w:hAnsi="Times New Roman"/>
                <w:sz w:val="24"/>
              </w:rPr>
              <w:t>Riferimenti giuridici e istruzioni</w:t>
            </w:r>
          </w:p>
        </w:tc>
      </w:tr>
      <w:tr w:rsidR="00C85971" w:rsidRPr="000D715C" w14:paraId="0AB0475E" w14:textId="77777777" w:rsidTr="00D819DE">
        <w:tc>
          <w:tcPr>
            <w:tcW w:w="1172" w:type="dxa"/>
            <w:shd w:val="clear" w:color="auto" w:fill="D9D9D9" w:themeFill="background1" w:themeFillShade="D9"/>
          </w:tcPr>
          <w:p w14:paraId="0886C6D6" w14:textId="77777777" w:rsidR="00C85971" w:rsidRPr="000D715C" w:rsidRDefault="00C85971" w:rsidP="00D819DE">
            <w:pPr>
              <w:rPr>
                <w:rFonts w:ascii="Times New Roman" w:hAnsi="Times New Roman" w:cs="Times New Roman"/>
                <w:b/>
                <w:sz w:val="24"/>
              </w:rPr>
            </w:pPr>
            <w:r w:rsidRPr="000D715C">
              <w:rPr>
                <w:rFonts w:ascii="Times New Roman" w:hAnsi="Times New Roman"/>
                <w:b/>
                <w:sz w:val="24"/>
              </w:rPr>
              <w:t>Numero di riga</w:t>
            </w:r>
          </w:p>
        </w:tc>
        <w:tc>
          <w:tcPr>
            <w:tcW w:w="7242" w:type="dxa"/>
            <w:shd w:val="clear" w:color="auto" w:fill="D9D9D9" w:themeFill="background1" w:themeFillShade="D9"/>
          </w:tcPr>
          <w:p w14:paraId="3586AD3A" w14:textId="77777777" w:rsidR="00C85971" w:rsidRPr="000D715C" w:rsidRDefault="00C85971" w:rsidP="00D819DE">
            <w:pPr>
              <w:rPr>
                <w:rFonts w:ascii="Times New Roman" w:hAnsi="Times New Roman" w:cs="Times New Roman"/>
                <w:b/>
                <w:sz w:val="24"/>
              </w:rPr>
            </w:pPr>
            <w:r w:rsidRPr="000D715C">
              <w:rPr>
                <w:rFonts w:ascii="Times New Roman" w:hAnsi="Times New Roman"/>
                <w:b/>
                <w:sz w:val="24"/>
              </w:rPr>
              <w:t>Spiegazione</w:t>
            </w:r>
          </w:p>
        </w:tc>
      </w:tr>
      <w:tr w:rsidR="00C85971" w:rsidRPr="000D715C" w14:paraId="3EC81769" w14:textId="77777777" w:rsidTr="00D819DE">
        <w:tc>
          <w:tcPr>
            <w:tcW w:w="1172" w:type="dxa"/>
            <w:vAlign w:val="center"/>
          </w:tcPr>
          <w:p w14:paraId="27AE8497"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1</w:t>
            </w:r>
          </w:p>
        </w:tc>
        <w:tc>
          <w:tcPr>
            <w:tcW w:w="7242" w:type="dxa"/>
          </w:tcPr>
          <w:p w14:paraId="6D216B78" w14:textId="77777777" w:rsidR="00C85971" w:rsidRPr="000D715C" w:rsidRDefault="00C85971" w:rsidP="00D819DE">
            <w:pPr>
              <w:spacing w:after="200"/>
              <w:jc w:val="both"/>
              <w:rPr>
                <w:rFonts w:ascii="Times New Roman" w:hAnsi="Times New Roman" w:cs="Times New Roman"/>
                <w:spacing w:val="-2"/>
                <w:sz w:val="24"/>
              </w:rPr>
            </w:pPr>
            <w:r w:rsidRPr="000D715C">
              <w:rPr>
                <w:rFonts w:ascii="Times New Roman" w:hAnsi="Times New Roman"/>
                <w:spacing w:val="-2"/>
                <w:sz w:val="24"/>
              </w:rPr>
              <w:t>Strumenti di capitale e le relative riserve sovrapprezzo azioni</w:t>
            </w:r>
          </w:p>
          <w:p w14:paraId="3624D9E6" w14:textId="7730DD15" w:rsidR="00C85971" w:rsidRPr="000D715C" w:rsidRDefault="00C85971" w:rsidP="00D819DE">
            <w:pPr>
              <w:spacing w:after="200"/>
              <w:jc w:val="both"/>
              <w:rPr>
                <w:rFonts w:ascii="Times New Roman" w:hAnsi="Times New Roman" w:cs="Times New Roman"/>
                <w:spacing w:val="-2"/>
                <w:sz w:val="24"/>
              </w:rPr>
            </w:pPr>
            <w:r w:rsidRPr="000D715C">
              <w:rPr>
                <w:rFonts w:ascii="Times New Roman" w:hAnsi="Times New Roman"/>
                <w:spacing w:val="-2"/>
                <w:sz w:val="24"/>
              </w:rPr>
              <w:t>Strumenti di capitale e relative riserve sovrapprezzo azioni conformemente all</w:t>
            </w:r>
            <w:r w:rsidR="005424B9" w:rsidRPr="000D715C">
              <w:rPr>
                <w:rFonts w:ascii="Times New Roman" w:hAnsi="Times New Roman"/>
                <w:spacing w:val="-2"/>
                <w:sz w:val="24"/>
              </w:rPr>
              <w:t>'</w:t>
            </w:r>
            <w:r w:rsidRPr="000D715C">
              <w:rPr>
                <w:rFonts w:ascii="Times New Roman" w:hAnsi="Times New Roman"/>
                <w:spacing w:val="-2"/>
                <w:sz w:val="24"/>
              </w:rPr>
              <w:t>articolo 26, paragrafo 1, lettere a) e b), e agli articoli 27, 28 e 29 del CRR e all</w:t>
            </w:r>
            <w:r w:rsidR="005424B9" w:rsidRPr="000D715C">
              <w:rPr>
                <w:rFonts w:ascii="Times New Roman" w:hAnsi="Times New Roman"/>
                <w:spacing w:val="-2"/>
                <w:sz w:val="24"/>
              </w:rPr>
              <w:t>'</w:t>
            </w:r>
            <w:r w:rsidRPr="000D715C">
              <w:rPr>
                <w:rFonts w:ascii="Times New Roman" w:hAnsi="Times New Roman"/>
                <w:spacing w:val="-2"/>
                <w:sz w:val="24"/>
              </w:rPr>
              <w:t>elenco dell</w:t>
            </w:r>
            <w:r w:rsidR="005424B9" w:rsidRPr="000D715C">
              <w:rPr>
                <w:rFonts w:ascii="Times New Roman" w:hAnsi="Times New Roman"/>
                <w:spacing w:val="-2"/>
                <w:sz w:val="24"/>
              </w:rPr>
              <w:t>'</w:t>
            </w:r>
            <w:r w:rsidRPr="000D715C">
              <w:rPr>
                <w:rFonts w:ascii="Times New Roman" w:hAnsi="Times New Roman"/>
                <w:spacing w:val="-2"/>
                <w:sz w:val="24"/>
              </w:rPr>
              <w:t>ABE di cui all</w:t>
            </w:r>
            <w:r w:rsidR="005424B9" w:rsidRPr="000D715C">
              <w:rPr>
                <w:rFonts w:ascii="Times New Roman" w:hAnsi="Times New Roman"/>
                <w:spacing w:val="-2"/>
                <w:sz w:val="24"/>
              </w:rPr>
              <w:t>'</w:t>
            </w:r>
            <w:r w:rsidRPr="000D715C">
              <w:rPr>
                <w:rFonts w:ascii="Times New Roman" w:hAnsi="Times New Roman"/>
                <w:spacing w:val="-2"/>
                <w:sz w:val="24"/>
              </w:rPr>
              <w:t>articolo 26, paragrafo 3, del CRR, e loro ripartizione per tipo di strumento.</w:t>
            </w:r>
          </w:p>
        </w:tc>
      </w:tr>
      <w:tr w:rsidR="00C85971" w:rsidRPr="000D715C" w14:paraId="32A6085B" w14:textId="77777777" w:rsidTr="00D819DE">
        <w:tc>
          <w:tcPr>
            <w:tcW w:w="1172" w:type="dxa"/>
            <w:vAlign w:val="center"/>
          </w:tcPr>
          <w:p w14:paraId="1D36DC3B"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2</w:t>
            </w:r>
          </w:p>
        </w:tc>
        <w:tc>
          <w:tcPr>
            <w:tcW w:w="7242" w:type="dxa"/>
            <w:vAlign w:val="center"/>
          </w:tcPr>
          <w:p w14:paraId="5CAB890A"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Utili non distribuiti</w:t>
            </w:r>
          </w:p>
          <w:p w14:paraId="3BB53B05" w14:textId="393D5482"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Utili non distribuiti prima di tutte le rettifiche regolamentari conformemente all</w:t>
            </w:r>
            <w:r w:rsidR="005424B9" w:rsidRPr="000D715C">
              <w:rPr>
                <w:rFonts w:ascii="Times New Roman" w:hAnsi="Times New Roman"/>
                <w:sz w:val="24"/>
              </w:rPr>
              <w:t>'</w:t>
            </w:r>
            <w:r w:rsidRPr="000D715C">
              <w:rPr>
                <w:rFonts w:ascii="Times New Roman" w:hAnsi="Times New Roman"/>
                <w:sz w:val="24"/>
              </w:rPr>
              <w:t>articolo</w:t>
            </w:r>
            <w:r w:rsidR="005424B9" w:rsidRPr="000D715C">
              <w:rPr>
                <w:rFonts w:ascii="Times New Roman" w:hAnsi="Times New Roman"/>
                <w:sz w:val="24"/>
              </w:rPr>
              <w:t> </w:t>
            </w:r>
            <w:r w:rsidRPr="000D715C">
              <w:rPr>
                <w:rFonts w:ascii="Times New Roman" w:hAnsi="Times New Roman"/>
                <w:sz w:val="24"/>
              </w:rPr>
              <w:t>26, paragrafo</w:t>
            </w:r>
            <w:r w:rsidR="005424B9" w:rsidRPr="000D715C">
              <w:rPr>
                <w:rFonts w:ascii="Times New Roman" w:hAnsi="Times New Roman"/>
                <w:sz w:val="24"/>
              </w:rPr>
              <w:t> </w:t>
            </w:r>
            <w:r w:rsidRPr="000D715C">
              <w:rPr>
                <w:rFonts w:ascii="Times New Roman" w:hAnsi="Times New Roman"/>
                <w:sz w:val="24"/>
              </w:rPr>
              <w:t>1, lettera</w:t>
            </w:r>
            <w:r w:rsidR="005424B9" w:rsidRPr="000D715C">
              <w:rPr>
                <w:rFonts w:ascii="Times New Roman" w:hAnsi="Times New Roman"/>
                <w:sz w:val="24"/>
              </w:rPr>
              <w:t> </w:t>
            </w:r>
            <w:r w:rsidRPr="000D715C">
              <w:rPr>
                <w:rFonts w:ascii="Times New Roman" w:hAnsi="Times New Roman"/>
                <w:sz w:val="24"/>
              </w:rPr>
              <w:t>c), del regolamento CRR (prima dell</w:t>
            </w:r>
            <w:r w:rsidR="005424B9" w:rsidRPr="000D715C">
              <w:rPr>
                <w:rFonts w:ascii="Times New Roman" w:hAnsi="Times New Roman"/>
                <w:sz w:val="24"/>
              </w:rPr>
              <w:t>'</w:t>
            </w:r>
            <w:r w:rsidRPr="000D715C">
              <w:rPr>
                <w:rFonts w:ascii="Times New Roman" w:hAnsi="Times New Roman"/>
                <w:sz w:val="24"/>
              </w:rPr>
              <w:t>inclusione di qualsiasi utile o perdita netti di periodo).</w:t>
            </w:r>
          </w:p>
        </w:tc>
      </w:tr>
      <w:tr w:rsidR="00C85971" w:rsidRPr="000D715C" w14:paraId="55D99A61" w14:textId="77777777" w:rsidTr="00D819DE">
        <w:trPr>
          <w:trHeight w:val="980"/>
        </w:trPr>
        <w:tc>
          <w:tcPr>
            <w:tcW w:w="1172" w:type="dxa"/>
            <w:vAlign w:val="center"/>
          </w:tcPr>
          <w:p w14:paraId="269B6739"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3</w:t>
            </w:r>
          </w:p>
        </w:tc>
        <w:tc>
          <w:tcPr>
            <w:tcW w:w="7242" w:type="dxa"/>
            <w:vAlign w:val="center"/>
          </w:tcPr>
          <w:p w14:paraId="32D3B938"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Altre componenti di conto economico complessivo accumulate (e altre riserve)</w:t>
            </w:r>
          </w:p>
          <w:p w14:paraId="7F756611" w14:textId="28380019"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lastRenderedPageBreak/>
              <w:t>Importo delle altre componenti di conto economico complessivo accumulate e altre riserve conformemente all</w:t>
            </w:r>
            <w:r w:rsidR="005424B9" w:rsidRPr="000D715C">
              <w:rPr>
                <w:rFonts w:ascii="Times New Roman" w:hAnsi="Times New Roman"/>
                <w:sz w:val="24"/>
              </w:rPr>
              <w:t>'</w:t>
            </w:r>
            <w:r w:rsidRPr="000D715C">
              <w:rPr>
                <w:rFonts w:ascii="Times New Roman" w:hAnsi="Times New Roman"/>
                <w:sz w:val="24"/>
              </w:rPr>
              <w:t>articolo</w:t>
            </w:r>
            <w:r w:rsidR="005424B9" w:rsidRPr="000D715C">
              <w:rPr>
                <w:rFonts w:ascii="Times New Roman" w:hAnsi="Times New Roman"/>
                <w:sz w:val="24"/>
              </w:rPr>
              <w:t> </w:t>
            </w:r>
            <w:r w:rsidRPr="000D715C">
              <w:rPr>
                <w:rFonts w:ascii="Times New Roman" w:hAnsi="Times New Roman"/>
                <w:sz w:val="24"/>
              </w:rPr>
              <w:t>26, paragrafo</w:t>
            </w:r>
            <w:r w:rsidR="005424B9" w:rsidRPr="000D715C">
              <w:rPr>
                <w:rFonts w:ascii="Times New Roman" w:hAnsi="Times New Roman"/>
                <w:sz w:val="24"/>
              </w:rPr>
              <w:t> </w:t>
            </w:r>
            <w:r w:rsidRPr="000D715C">
              <w:rPr>
                <w:rFonts w:ascii="Times New Roman" w:hAnsi="Times New Roman"/>
                <w:sz w:val="24"/>
              </w:rPr>
              <w:t>1, lettere d) ed e), del CRR.</w:t>
            </w:r>
          </w:p>
        </w:tc>
      </w:tr>
      <w:tr w:rsidR="00C85971" w:rsidRPr="000D715C" w14:paraId="5C04AF2A" w14:textId="77777777" w:rsidTr="00D819DE">
        <w:tc>
          <w:tcPr>
            <w:tcW w:w="1172" w:type="dxa"/>
            <w:vAlign w:val="center"/>
          </w:tcPr>
          <w:p w14:paraId="18044CFD"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lastRenderedPageBreak/>
              <w:t>EU-3a</w:t>
            </w:r>
          </w:p>
        </w:tc>
        <w:tc>
          <w:tcPr>
            <w:tcW w:w="7242" w:type="dxa"/>
            <w:vAlign w:val="center"/>
          </w:tcPr>
          <w:p w14:paraId="780A3FE7"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Fondi per rischi bancari generali</w:t>
            </w:r>
          </w:p>
          <w:p w14:paraId="3C427163" w14:textId="4F5E39D6"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Importo dei fondi per rischi bancari generali conformemente all</w:t>
            </w:r>
            <w:r w:rsidR="005424B9" w:rsidRPr="000D715C">
              <w:rPr>
                <w:rFonts w:ascii="Times New Roman" w:hAnsi="Times New Roman"/>
                <w:sz w:val="24"/>
              </w:rPr>
              <w:t>'</w:t>
            </w:r>
            <w:r w:rsidRPr="000D715C">
              <w:rPr>
                <w:rFonts w:ascii="Times New Roman" w:hAnsi="Times New Roman"/>
                <w:sz w:val="24"/>
              </w:rPr>
              <w:t>articolo</w:t>
            </w:r>
            <w:r w:rsidR="005424B9" w:rsidRPr="000D715C">
              <w:rPr>
                <w:rFonts w:ascii="Times New Roman" w:hAnsi="Times New Roman"/>
                <w:sz w:val="24"/>
              </w:rPr>
              <w:t> </w:t>
            </w:r>
            <w:r w:rsidRPr="000D715C">
              <w:rPr>
                <w:rFonts w:ascii="Times New Roman" w:hAnsi="Times New Roman"/>
                <w:sz w:val="24"/>
              </w:rPr>
              <w:t>26, paragrafo 1, lettera f), del CRR.</w:t>
            </w:r>
          </w:p>
        </w:tc>
      </w:tr>
      <w:tr w:rsidR="00C85971" w:rsidRPr="000D715C" w14:paraId="429037B8" w14:textId="77777777" w:rsidTr="00D819DE">
        <w:tc>
          <w:tcPr>
            <w:tcW w:w="1172" w:type="dxa"/>
            <w:vAlign w:val="center"/>
          </w:tcPr>
          <w:p w14:paraId="3AC0D40C"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4</w:t>
            </w:r>
          </w:p>
        </w:tc>
        <w:tc>
          <w:tcPr>
            <w:tcW w:w="7242" w:type="dxa"/>
            <w:vAlign w:val="center"/>
          </w:tcPr>
          <w:p w14:paraId="12939885" w14:textId="0BB2C95C"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Importo degli elementi ammissibili di cui all</w:t>
            </w:r>
            <w:r w:rsidR="005424B9" w:rsidRPr="000D715C">
              <w:rPr>
                <w:rFonts w:ascii="Times New Roman" w:hAnsi="Times New Roman"/>
                <w:sz w:val="24"/>
              </w:rPr>
              <w:t>'</w:t>
            </w:r>
            <w:r w:rsidRPr="000D715C">
              <w:rPr>
                <w:rFonts w:ascii="Times New Roman" w:hAnsi="Times New Roman"/>
                <w:sz w:val="24"/>
              </w:rPr>
              <w:t>articolo</w:t>
            </w:r>
            <w:r w:rsidR="005424B9" w:rsidRPr="000D715C">
              <w:rPr>
                <w:rFonts w:ascii="Times New Roman" w:hAnsi="Times New Roman"/>
                <w:sz w:val="24"/>
              </w:rPr>
              <w:t> </w:t>
            </w:r>
            <w:r w:rsidRPr="000D715C">
              <w:rPr>
                <w:rFonts w:ascii="Times New Roman" w:hAnsi="Times New Roman"/>
                <w:sz w:val="24"/>
              </w:rPr>
              <w:t>484, paragrafo</w:t>
            </w:r>
            <w:r w:rsidR="005424B9" w:rsidRPr="000D715C">
              <w:rPr>
                <w:rFonts w:ascii="Times New Roman" w:hAnsi="Times New Roman"/>
                <w:sz w:val="24"/>
              </w:rPr>
              <w:t> </w:t>
            </w:r>
            <w:r w:rsidRPr="000D715C">
              <w:rPr>
                <w:rFonts w:ascii="Times New Roman" w:hAnsi="Times New Roman"/>
                <w:sz w:val="24"/>
              </w:rPr>
              <w:t>3, del</w:t>
            </w:r>
            <w:r w:rsidR="005424B9" w:rsidRPr="000D715C">
              <w:rPr>
                <w:rFonts w:ascii="Times New Roman" w:hAnsi="Times New Roman"/>
                <w:sz w:val="24"/>
              </w:rPr>
              <w:t> </w:t>
            </w:r>
            <w:r w:rsidRPr="000D715C">
              <w:rPr>
                <w:rFonts w:ascii="Times New Roman" w:hAnsi="Times New Roman"/>
                <w:sz w:val="24"/>
              </w:rPr>
              <w:t>CRR e le relative riserve sovrapprezzo azioni, soggetti a eliminazione progressiva dal capitale CET1</w:t>
            </w:r>
          </w:p>
          <w:p w14:paraId="434ED6B8" w14:textId="06E806F1"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Importo degli elementi ammissibili di cui all</w:t>
            </w:r>
            <w:r w:rsidR="005424B9" w:rsidRPr="000D715C">
              <w:rPr>
                <w:rFonts w:ascii="Times New Roman" w:hAnsi="Times New Roman"/>
                <w:sz w:val="24"/>
              </w:rPr>
              <w:t>'</w:t>
            </w:r>
            <w:r w:rsidRPr="000D715C">
              <w:rPr>
                <w:rFonts w:ascii="Times New Roman" w:hAnsi="Times New Roman"/>
                <w:sz w:val="24"/>
              </w:rPr>
              <w:t>articolo</w:t>
            </w:r>
            <w:r w:rsidR="005424B9" w:rsidRPr="000D715C">
              <w:rPr>
                <w:rFonts w:ascii="Times New Roman" w:hAnsi="Times New Roman"/>
                <w:sz w:val="24"/>
              </w:rPr>
              <w:t> </w:t>
            </w:r>
            <w:r w:rsidRPr="000D715C">
              <w:rPr>
                <w:rFonts w:ascii="Times New Roman" w:hAnsi="Times New Roman"/>
                <w:sz w:val="24"/>
              </w:rPr>
              <w:t>484, paragrafo</w:t>
            </w:r>
            <w:r w:rsidR="005424B9" w:rsidRPr="000D715C">
              <w:rPr>
                <w:rFonts w:ascii="Times New Roman" w:hAnsi="Times New Roman"/>
                <w:sz w:val="24"/>
              </w:rPr>
              <w:t> </w:t>
            </w:r>
            <w:r w:rsidRPr="000D715C">
              <w:rPr>
                <w:rFonts w:ascii="Times New Roman" w:hAnsi="Times New Roman"/>
                <w:sz w:val="24"/>
              </w:rPr>
              <w:t>3, del</w:t>
            </w:r>
            <w:r w:rsidR="005424B9" w:rsidRPr="000D715C">
              <w:rPr>
                <w:rFonts w:ascii="Times New Roman" w:hAnsi="Times New Roman"/>
                <w:sz w:val="24"/>
              </w:rPr>
              <w:t> </w:t>
            </w:r>
            <w:r w:rsidRPr="000D715C">
              <w:rPr>
                <w:rFonts w:ascii="Times New Roman" w:hAnsi="Times New Roman"/>
                <w:sz w:val="24"/>
              </w:rPr>
              <w:t>CRR, e le relative riserve sovrapprezzo azioni, soggetti a eliminazione progressiva dal capitale CET1, di cui all</w:t>
            </w:r>
            <w:r w:rsidR="005424B9" w:rsidRPr="000D715C">
              <w:rPr>
                <w:rFonts w:ascii="Times New Roman" w:hAnsi="Times New Roman"/>
                <w:sz w:val="24"/>
              </w:rPr>
              <w:t>'</w:t>
            </w:r>
            <w:r w:rsidRPr="000D715C">
              <w:rPr>
                <w:rFonts w:ascii="Times New Roman" w:hAnsi="Times New Roman"/>
                <w:sz w:val="24"/>
              </w:rPr>
              <w:t>articolo</w:t>
            </w:r>
            <w:r w:rsidR="005424B9" w:rsidRPr="000D715C">
              <w:rPr>
                <w:rFonts w:ascii="Times New Roman" w:hAnsi="Times New Roman"/>
                <w:sz w:val="24"/>
              </w:rPr>
              <w:t> </w:t>
            </w:r>
            <w:r w:rsidRPr="000D715C">
              <w:rPr>
                <w:rFonts w:ascii="Times New Roman" w:hAnsi="Times New Roman"/>
                <w:sz w:val="24"/>
              </w:rPr>
              <w:t>486, paragrafo</w:t>
            </w:r>
            <w:r w:rsidR="005424B9" w:rsidRPr="000D715C">
              <w:rPr>
                <w:rFonts w:ascii="Times New Roman" w:hAnsi="Times New Roman"/>
                <w:sz w:val="24"/>
              </w:rPr>
              <w:t> </w:t>
            </w:r>
            <w:r w:rsidRPr="000D715C">
              <w:rPr>
                <w:rFonts w:ascii="Times New Roman" w:hAnsi="Times New Roman"/>
                <w:sz w:val="24"/>
              </w:rPr>
              <w:t>2, del</w:t>
            </w:r>
            <w:r w:rsidR="005424B9" w:rsidRPr="000D715C">
              <w:rPr>
                <w:rFonts w:ascii="Times New Roman" w:hAnsi="Times New Roman"/>
                <w:sz w:val="24"/>
              </w:rPr>
              <w:t> </w:t>
            </w:r>
            <w:r w:rsidRPr="000D715C">
              <w:rPr>
                <w:rFonts w:ascii="Times New Roman" w:hAnsi="Times New Roman"/>
                <w:sz w:val="24"/>
              </w:rPr>
              <w:t>CRR.</w:t>
            </w:r>
          </w:p>
        </w:tc>
      </w:tr>
      <w:tr w:rsidR="00C85971" w:rsidRPr="000D715C" w14:paraId="0FE5F2C7" w14:textId="77777777" w:rsidTr="00D819DE">
        <w:tc>
          <w:tcPr>
            <w:tcW w:w="1172" w:type="dxa"/>
            <w:vAlign w:val="center"/>
          </w:tcPr>
          <w:p w14:paraId="31B676BF"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5</w:t>
            </w:r>
          </w:p>
        </w:tc>
        <w:tc>
          <w:tcPr>
            <w:tcW w:w="7242" w:type="dxa"/>
            <w:vAlign w:val="center"/>
          </w:tcPr>
          <w:p w14:paraId="3FF63C40"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Interessi di minoranza (importo consentito nel capitale CET1 consolidato)</w:t>
            </w:r>
          </w:p>
          <w:p w14:paraId="64724C4C" w14:textId="6ADB1EB3"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Interessi di minoranza (importo consentito nel capitale CET1 consolidato) conformemente all</w:t>
            </w:r>
            <w:r w:rsidR="005424B9" w:rsidRPr="000D715C">
              <w:rPr>
                <w:rFonts w:ascii="Times New Roman" w:hAnsi="Times New Roman"/>
                <w:sz w:val="24"/>
              </w:rPr>
              <w:t>'</w:t>
            </w:r>
            <w:r w:rsidRPr="000D715C">
              <w:rPr>
                <w:rFonts w:ascii="Times New Roman" w:hAnsi="Times New Roman"/>
                <w:sz w:val="24"/>
              </w:rPr>
              <w:t>articolo 84 del CRR.</w:t>
            </w:r>
          </w:p>
        </w:tc>
      </w:tr>
      <w:tr w:rsidR="00C85971" w:rsidRPr="000D715C" w14:paraId="05B4754F" w14:textId="77777777" w:rsidTr="00D819DE">
        <w:tc>
          <w:tcPr>
            <w:tcW w:w="1172" w:type="dxa"/>
            <w:vAlign w:val="center"/>
          </w:tcPr>
          <w:p w14:paraId="039F76BE"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EU-5a</w:t>
            </w:r>
          </w:p>
        </w:tc>
        <w:tc>
          <w:tcPr>
            <w:tcW w:w="7242" w:type="dxa"/>
            <w:vAlign w:val="center"/>
          </w:tcPr>
          <w:p w14:paraId="179AFE37"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Utili di periodo verificati da persone indipendenti al netto di tutti gli oneri o dividendi prevedibili</w:t>
            </w:r>
          </w:p>
          <w:p w14:paraId="30173762" w14:textId="6C134094"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Utili di periodo verificati da persone indipendenti al netto di tutti gli oneri o i dividendi prevedibili a norma dell</w:t>
            </w:r>
            <w:r w:rsidR="005424B9" w:rsidRPr="000D715C">
              <w:rPr>
                <w:rFonts w:ascii="Times New Roman" w:hAnsi="Times New Roman"/>
                <w:sz w:val="24"/>
              </w:rPr>
              <w:t>'</w:t>
            </w:r>
            <w:r w:rsidRPr="000D715C">
              <w:rPr>
                <w:rFonts w:ascii="Times New Roman" w:hAnsi="Times New Roman"/>
                <w:sz w:val="24"/>
              </w:rPr>
              <w:t>articolo 26, paragrafo 2, del CRR.</w:t>
            </w:r>
          </w:p>
        </w:tc>
      </w:tr>
      <w:tr w:rsidR="00C85971" w:rsidRPr="000D715C" w14:paraId="0DB6D54A" w14:textId="77777777" w:rsidTr="00D819DE">
        <w:tc>
          <w:tcPr>
            <w:tcW w:w="1172" w:type="dxa"/>
            <w:vAlign w:val="center"/>
          </w:tcPr>
          <w:p w14:paraId="77050ED8"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6</w:t>
            </w:r>
          </w:p>
        </w:tc>
        <w:tc>
          <w:tcPr>
            <w:tcW w:w="7242" w:type="dxa"/>
            <w:vAlign w:val="center"/>
          </w:tcPr>
          <w:p w14:paraId="181768AF"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Capitale primario di classe 1 (CET1) prima delle rettifiche regolamentari</w:t>
            </w:r>
          </w:p>
          <w:p w14:paraId="5517D0EC"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Somma degli importi nelle righe da 1 a EU-5a di questo modello.</w:t>
            </w:r>
          </w:p>
        </w:tc>
      </w:tr>
      <w:tr w:rsidR="00C85971" w:rsidRPr="000D715C" w14:paraId="1DB3573D" w14:textId="77777777" w:rsidTr="00D819DE">
        <w:tc>
          <w:tcPr>
            <w:tcW w:w="1172" w:type="dxa"/>
            <w:vAlign w:val="center"/>
          </w:tcPr>
          <w:p w14:paraId="3A212C69"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7</w:t>
            </w:r>
          </w:p>
        </w:tc>
        <w:tc>
          <w:tcPr>
            <w:tcW w:w="7242" w:type="dxa"/>
            <w:vAlign w:val="center"/>
          </w:tcPr>
          <w:p w14:paraId="25B17849"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Rettifiche di valore supplementari (importo negativo)</w:t>
            </w:r>
          </w:p>
          <w:p w14:paraId="24604E94"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Rettifiche di valore supplementari conformemente agli articoli 34 e 105 del CRR (importo negativo).</w:t>
            </w:r>
          </w:p>
        </w:tc>
      </w:tr>
      <w:tr w:rsidR="00C85971" w:rsidRPr="000D715C" w14:paraId="5FE594E0" w14:textId="77777777" w:rsidTr="00D819DE">
        <w:tc>
          <w:tcPr>
            <w:tcW w:w="1172" w:type="dxa"/>
            <w:vAlign w:val="center"/>
          </w:tcPr>
          <w:p w14:paraId="04267FFA"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8</w:t>
            </w:r>
          </w:p>
        </w:tc>
        <w:tc>
          <w:tcPr>
            <w:tcW w:w="7242" w:type="dxa"/>
            <w:vAlign w:val="center"/>
          </w:tcPr>
          <w:p w14:paraId="540851DE"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Attività immateriali (al netto delle relative passività fiscali) (importo negativo)</w:t>
            </w:r>
          </w:p>
          <w:p w14:paraId="5E398664" w14:textId="192BD0FA"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Attività immateriali (al netto delle relative passività fiscali) conformemente all</w:t>
            </w:r>
            <w:r w:rsidR="005424B9" w:rsidRPr="000D715C">
              <w:rPr>
                <w:rFonts w:ascii="Times New Roman" w:hAnsi="Times New Roman"/>
                <w:sz w:val="24"/>
              </w:rPr>
              <w:t>'</w:t>
            </w:r>
            <w:r w:rsidRPr="000D715C">
              <w:rPr>
                <w:rFonts w:ascii="Times New Roman" w:hAnsi="Times New Roman"/>
                <w:sz w:val="24"/>
              </w:rPr>
              <w:t>articolo 36, paragrafo 1, lettera b), e all</w:t>
            </w:r>
            <w:r w:rsidR="005424B9" w:rsidRPr="000D715C">
              <w:rPr>
                <w:rFonts w:ascii="Times New Roman" w:hAnsi="Times New Roman"/>
                <w:sz w:val="24"/>
              </w:rPr>
              <w:t>'</w:t>
            </w:r>
            <w:r w:rsidRPr="000D715C">
              <w:rPr>
                <w:rFonts w:ascii="Times New Roman" w:hAnsi="Times New Roman"/>
                <w:sz w:val="24"/>
              </w:rPr>
              <w:t>articolo 37 del CRR (importo negativo).</w:t>
            </w:r>
          </w:p>
        </w:tc>
      </w:tr>
      <w:tr w:rsidR="00C85971" w:rsidRPr="000D715C" w14:paraId="57D545A8" w14:textId="77777777" w:rsidTr="00D819DE">
        <w:tc>
          <w:tcPr>
            <w:tcW w:w="1172" w:type="dxa"/>
            <w:vAlign w:val="center"/>
          </w:tcPr>
          <w:p w14:paraId="058D3A75"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 xml:space="preserve">9 </w:t>
            </w:r>
          </w:p>
        </w:tc>
        <w:tc>
          <w:tcPr>
            <w:tcW w:w="7242" w:type="dxa"/>
            <w:vAlign w:val="center"/>
          </w:tcPr>
          <w:p w14:paraId="16084F42"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Non applicabile</w:t>
            </w:r>
          </w:p>
        </w:tc>
      </w:tr>
      <w:tr w:rsidR="00C85971" w:rsidRPr="000D715C" w14:paraId="66B4EBC9" w14:textId="77777777" w:rsidTr="00D819DE">
        <w:tc>
          <w:tcPr>
            <w:tcW w:w="1172" w:type="dxa"/>
            <w:vAlign w:val="center"/>
          </w:tcPr>
          <w:p w14:paraId="2BDE1E17"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10</w:t>
            </w:r>
          </w:p>
        </w:tc>
        <w:tc>
          <w:tcPr>
            <w:tcW w:w="7242" w:type="dxa"/>
            <w:vAlign w:val="center"/>
          </w:tcPr>
          <w:p w14:paraId="03352CF4" w14:textId="3DD3C121"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Attività fiscali differite che dipendono dalla redditività futura, escluse quelle derivanti da differenze temporanee (al netto delle relative passività fiscali per le quali sono soddisfatte le condizioni di cui all</w:t>
            </w:r>
            <w:r w:rsidR="005424B9" w:rsidRPr="000D715C">
              <w:rPr>
                <w:rFonts w:ascii="Times New Roman" w:hAnsi="Times New Roman"/>
                <w:sz w:val="24"/>
              </w:rPr>
              <w:t>'</w:t>
            </w:r>
            <w:r w:rsidRPr="000D715C">
              <w:rPr>
                <w:rFonts w:ascii="Times New Roman" w:hAnsi="Times New Roman"/>
                <w:sz w:val="24"/>
              </w:rPr>
              <w:t>articolo 38, paragrafo 3, del CRR) (importo negativo)</w:t>
            </w:r>
          </w:p>
          <w:p w14:paraId="2A0A42E4" w14:textId="6ECBE832"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 xml:space="preserve">Attività fiscali differite che dipendono dalla redditività futura, escluse quelle derivanti da differenze temporanee (al netto delle relative passività </w:t>
            </w:r>
            <w:r w:rsidRPr="000D715C">
              <w:rPr>
                <w:rFonts w:ascii="Times New Roman" w:hAnsi="Times New Roman"/>
                <w:sz w:val="24"/>
              </w:rPr>
              <w:lastRenderedPageBreak/>
              <w:t>fiscali per le quali sono soddisfatte le condizioni di cui all</w:t>
            </w:r>
            <w:r w:rsidR="005424B9" w:rsidRPr="000D715C">
              <w:rPr>
                <w:rFonts w:ascii="Times New Roman" w:hAnsi="Times New Roman"/>
                <w:sz w:val="24"/>
              </w:rPr>
              <w:t>'</w:t>
            </w:r>
            <w:r w:rsidRPr="000D715C">
              <w:rPr>
                <w:rFonts w:ascii="Times New Roman" w:hAnsi="Times New Roman"/>
                <w:sz w:val="24"/>
              </w:rPr>
              <w:t>articolo 38, paragrafo</w:t>
            </w:r>
            <w:r w:rsidR="005424B9" w:rsidRPr="000D715C">
              <w:rPr>
                <w:rFonts w:ascii="Times New Roman" w:hAnsi="Times New Roman"/>
                <w:sz w:val="24"/>
              </w:rPr>
              <w:t> </w:t>
            </w:r>
            <w:r w:rsidRPr="000D715C">
              <w:rPr>
                <w:rFonts w:ascii="Times New Roman" w:hAnsi="Times New Roman"/>
                <w:sz w:val="24"/>
              </w:rPr>
              <w:t>3, del CRR), conformemente all</w:t>
            </w:r>
            <w:r w:rsidR="005424B9" w:rsidRPr="000D715C">
              <w:rPr>
                <w:rFonts w:ascii="Times New Roman" w:hAnsi="Times New Roman"/>
                <w:sz w:val="24"/>
              </w:rPr>
              <w:t>'</w:t>
            </w:r>
            <w:r w:rsidRPr="000D715C">
              <w:rPr>
                <w:rFonts w:ascii="Times New Roman" w:hAnsi="Times New Roman"/>
                <w:sz w:val="24"/>
              </w:rPr>
              <w:t>articolo</w:t>
            </w:r>
            <w:r w:rsidR="005424B9" w:rsidRPr="000D715C">
              <w:rPr>
                <w:rFonts w:ascii="Times New Roman" w:hAnsi="Times New Roman"/>
                <w:sz w:val="24"/>
              </w:rPr>
              <w:t> </w:t>
            </w:r>
            <w:r w:rsidRPr="000D715C">
              <w:rPr>
                <w:rFonts w:ascii="Times New Roman" w:hAnsi="Times New Roman"/>
                <w:sz w:val="24"/>
              </w:rPr>
              <w:t>36, paragrafo</w:t>
            </w:r>
            <w:r w:rsidR="005424B9" w:rsidRPr="000D715C">
              <w:rPr>
                <w:rFonts w:ascii="Times New Roman" w:hAnsi="Times New Roman"/>
                <w:sz w:val="24"/>
              </w:rPr>
              <w:t> </w:t>
            </w:r>
            <w:r w:rsidRPr="000D715C">
              <w:rPr>
                <w:rFonts w:ascii="Times New Roman" w:hAnsi="Times New Roman"/>
                <w:sz w:val="24"/>
              </w:rPr>
              <w:t>1, lettera</w:t>
            </w:r>
            <w:r w:rsidR="005424B9" w:rsidRPr="000D715C">
              <w:rPr>
                <w:rFonts w:ascii="Times New Roman" w:hAnsi="Times New Roman"/>
                <w:sz w:val="24"/>
              </w:rPr>
              <w:t> </w:t>
            </w:r>
            <w:r w:rsidRPr="000D715C">
              <w:rPr>
                <w:rFonts w:ascii="Times New Roman" w:hAnsi="Times New Roman"/>
                <w:sz w:val="24"/>
              </w:rPr>
              <w:t>c), e all</w:t>
            </w:r>
            <w:r w:rsidR="005424B9" w:rsidRPr="000D715C">
              <w:rPr>
                <w:rFonts w:ascii="Times New Roman" w:hAnsi="Times New Roman"/>
                <w:sz w:val="24"/>
              </w:rPr>
              <w:t>'</w:t>
            </w:r>
            <w:r w:rsidRPr="000D715C">
              <w:rPr>
                <w:rFonts w:ascii="Times New Roman" w:hAnsi="Times New Roman"/>
                <w:sz w:val="24"/>
              </w:rPr>
              <w:t>articolo 38 del CRR (importo negativo).</w:t>
            </w:r>
          </w:p>
        </w:tc>
      </w:tr>
      <w:tr w:rsidR="00C85971" w:rsidRPr="000D715C" w14:paraId="6D9F3290" w14:textId="77777777" w:rsidTr="00D819DE">
        <w:tc>
          <w:tcPr>
            <w:tcW w:w="1172" w:type="dxa"/>
            <w:vAlign w:val="center"/>
          </w:tcPr>
          <w:p w14:paraId="45C66F63"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lastRenderedPageBreak/>
              <w:t>11</w:t>
            </w:r>
          </w:p>
        </w:tc>
        <w:tc>
          <w:tcPr>
            <w:tcW w:w="7242" w:type="dxa"/>
            <w:vAlign w:val="center"/>
          </w:tcPr>
          <w:p w14:paraId="68ABFBFC"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Riserve di valore equo relative ai profitti e alle perdite generati dalla copertura dei flussi di cassa degli strumenti finanziari che non sono valutati al valore equo</w:t>
            </w:r>
          </w:p>
          <w:p w14:paraId="28EED647" w14:textId="1C45DA09"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Riserve di valore equo relative ai profitti e alle perdite generati dalla copertura dei flussi di cassa degli strumenti finanziari che non sono valutati al valore equo conformemente all</w:t>
            </w:r>
            <w:r w:rsidR="005424B9" w:rsidRPr="000D715C">
              <w:rPr>
                <w:rFonts w:ascii="Times New Roman" w:hAnsi="Times New Roman"/>
                <w:sz w:val="24"/>
              </w:rPr>
              <w:t>'</w:t>
            </w:r>
            <w:r w:rsidRPr="000D715C">
              <w:rPr>
                <w:rFonts w:ascii="Times New Roman" w:hAnsi="Times New Roman"/>
                <w:sz w:val="24"/>
              </w:rPr>
              <w:t>articolo</w:t>
            </w:r>
            <w:r w:rsidR="005424B9" w:rsidRPr="000D715C">
              <w:rPr>
                <w:rFonts w:ascii="Times New Roman" w:hAnsi="Times New Roman"/>
                <w:sz w:val="24"/>
              </w:rPr>
              <w:t> </w:t>
            </w:r>
            <w:r w:rsidRPr="000D715C">
              <w:rPr>
                <w:rFonts w:ascii="Times New Roman" w:hAnsi="Times New Roman"/>
                <w:sz w:val="24"/>
              </w:rPr>
              <w:t>33, paragrafo</w:t>
            </w:r>
            <w:r w:rsidR="005424B9" w:rsidRPr="000D715C">
              <w:rPr>
                <w:rFonts w:ascii="Times New Roman" w:hAnsi="Times New Roman"/>
                <w:sz w:val="24"/>
              </w:rPr>
              <w:t> </w:t>
            </w:r>
            <w:r w:rsidRPr="000D715C">
              <w:rPr>
                <w:rFonts w:ascii="Times New Roman" w:hAnsi="Times New Roman"/>
                <w:sz w:val="24"/>
              </w:rPr>
              <w:t>1, lettera</w:t>
            </w:r>
            <w:r w:rsidR="005424B9" w:rsidRPr="000D715C">
              <w:rPr>
                <w:rFonts w:ascii="Times New Roman" w:hAnsi="Times New Roman"/>
                <w:sz w:val="24"/>
              </w:rPr>
              <w:t> </w:t>
            </w:r>
            <w:r w:rsidRPr="000D715C">
              <w:rPr>
                <w:rFonts w:ascii="Times New Roman" w:hAnsi="Times New Roman"/>
                <w:sz w:val="24"/>
              </w:rPr>
              <w:t>a), del CRR.</w:t>
            </w:r>
          </w:p>
        </w:tc>
      </w:tr>
      <w:tr w:rsidR="00C85971" w:rsidRPr="000D715C" w14:paraId="71D2CA32" w14:textId="77777777" w:rsidTr="00D819DE">
        <w:tc>
          <w:tcPr>
            <w:tcW w:w="1172" w:type="dxa"/>
            <w:vAlign w:val="center"/>
          </w:tcPr>
          <w:p w14:paraId="0F63B72D"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12</w:t>
            </w:r>
          </w:p>
        </w:tc>
        <w:tc>
          <w:tcPr>
            <w:tcW w:w="7242" w:type="dxa"/>
            <w:vAlign w:val="center"/>
          </w:tcPr>
          <w:p w14:paraId="7F76EC5F"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Importi negativi risultanti dal calcolo degli importi delle perdite attese</w:t>
            </w:r>
          </w:p>
          <w:p w14:paraId="1056ED1A" w14:textId="3E481C64"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Importi negativi risultanti dal calcolo degli importi delle perdite attese, conformemente all</w:t>
            </w:r>
            <w:r w:rsidR="005424B9" w:rsidRPr="000D715C">
              <w:rPr>
                <w:rFonts w:ascii="Times New Roman" w:hAnsi="Times New Roman"/>
                <w:sz w:val="24"/>
              </w:rPr>
              <w:t>'</w:t>
            </w:r>
            <w:r w:rsidRPr="000D715C">
              <w:rPr>
                <w:rFonts w:ascii="Times New Roman" w:hAnsi="Times New Roman"/>
                <w:sz w:val="24"/>
              </w:rPr>
              <w:t>articolo</w:t>
            </w:r>
            <w:r w:rsidR="005424B9" w:rsidRPr="000D715C">
              <w:rPr>
                <w:rFonts w:ascii="Times New Roman" w:hAnsi="Times New Roman"/>
                <w:sz w:val="24"/>
              </w:rPr>
              <w:t> </w:t>
            </w:r>
            <w:r w:rsidRPr="000D715C">
              <w:rPr>
                <w:rFonts w:ascii="Times New Roman" w:hAnsi="Times New Roman"/>
                <w:sz w:val="24"/>
              </w:rPr>
              <w:t>36, paragrafo</w:t>
            </w:r>
            <w:r w:rsidR="005424B9" w:rsidRPr="000D715C">
              <w:rPr>
                <w:rFonts w:ascii="Times New Roman" w:hAnsi="Times New Roman"/>
                <w:sz w:val="24"/>
              </w:rPr>
              <w:t> </w:t>
            </w:r>
            <w:r w:rsidRPr="000D715C">
              <w:rPr>
                <w:rFonts w:ascii="Times New Roman" w:hAnsi="Times New Roman"/>
                <w:sz w:val="24"/>
              </w:rPr>
              <w:t>1, lettera</w:t>
            </w:r>
            <w:r w:rsidR="005424B9" w:rsidRPr="000D715C">
              <w:rPr>
                <w:rFonts w:ascii="Times New Roman" w:hAnsi="Times New Roman"/>
                <w:sz w:val="24"/>
              </w:rPr>
              <w:t> </w:t>
            </w:r>
            <w:r w:rsidRPr="000D715C">
              <w:rPr>
                <w:rFonts w:ascii="Times New Roman" w:hAnsi="Times New Roman"/>
                <w:sz w:val="24"/>
              </w:rPr>
              <w:t>d), e all</w:t>
            </w:r>
            <w:r w:rsidR="005424B9" w:rsidRPr="000D715C">
              <w:rPr>
                <w:rFonts w:ascii="Times New Roman" w:hAnsi="Times New Roman"/>
                <w:sz w:val="24"/>
              </w:rPr>
              <w:t>'</w:t>
            </w:r>
            <w:r w:rsidRPr="000D715C">
              <w:rPr>
                <w:rFonts w:ascii="Times New Roman" w:hAnsi="Times New Roman"/>
                <w:sz w:val="24"/>
              </w:rPr>
              <w:t>articolo</w:t>
            </w:r>
            <w:r w:rsidR="005424B9" w:rsidRPr="000D715C">
              <w:rPr>
                <w:rFonts w:ascii="Times New Roman" w:hAnsi="Times New Roman"/>
                <w:sz w:val="24"/>
              </w:rPr>
              <w:t> </w:t>
            </w:r>
            <w:r w:rsidRPr="000D715C">
              <w:rPr>
                <w:rFonts w:ascii="Times New Roman" w:hAnsi="Times New Roman"/>
                <w:sz w:val="24"/>
              </w:rPr>
              <w:t>40 del</w:t>
            </w:r>
            <w:r w:rsidR="005424B9" w:rsidRPr="000D715C">
              <w:rPr>
                <w:rFonts w:ascii="Times New Roman" w:hAnsi="Times New Roman"/>
                <w:sz w:val="24"/>
              </w:rPr>
              <w:t> </w:t>
            </w:r>
            <w:r w:rsidRPr="000D715C">
              <w:rPr>
                <w:rFonts w:ascii="Times New Roman" w:hAnsi="Times New Roman"/>
                <w:sz w:val="24"/>
              </w:rPr>
              <w:t>CRR.</w:t>
            </w:r>
          </w:p>
        </w:tc>
      </w:tr>
      <w:tr w:rsidR="00C85971" w:rsidRPr="000D715C" w14:paraId="668AEBB4" w14:textId="77777777" w:rsidTr="00D819DE">
        <w:tc>
          <w:tcPr>
            <w:tcW w:w="1172" w:type="dxa"/>
            <w:vAlign w:val="center"/>
          </w:tcPr>
          <w:p w14:paraId="3EA3D281"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13</w:t>
            </w:r>
          </w:p>
        </w:tc>
        <w:tc>
          <w:tcPr>
            <w:tcW w:w="7242" w:type="dxa"/>
            <w:vAlign w:val="center"/>
          </w:tcPr>
          <w:p w14:paraId="2DCF7FE6"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Qualsiasi aumento del patrimonio netto risultante da attività cartolarizzate (importo negativo)</w:t>
            </w:r>
          </w:p>
          <w:p w14:paraId="0C6A56A7" w14:textId="1DBC779B"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Qualsiasi aumento del patrimonio netto risultante da attività cartolarizzate, conformemente all</w:t>
            </w:r>
            <w:r w:rsidR="005424B9" w:rsidRPr="000D715C">
              <w:rPr>
                <w:rFonts w:ascii="Times New Roman" w:hAnsi="Times New Roman"/>
                <w:sz w:val="24"/>
              </w:rPr>
              <w:t>'</w:t>
            </w:r>
            <w:r w:rsidRPr="000D715C">
              <w:rPr>
                <w:rFonts w:ascii="Times New Roman" w:hAnsi="Times New Roman"/>
                <w:sz w:val="24"/>
              </w:rPr>
              <w:t>articolo</w:t>
            </w:r>
            <w:r w:rsidR="005424B9" w:rsidRPr="000D715C">
              <w:rPr>
                <w:rFonts w:ascii="Times New Roman" w:hAnsi="Times New Roman"/>
                <w:sz w:val="24"/>
              </w:rPr>
              <w:t> </w:t>
            </w:r>
            <w:r w:rsidRPr="000D715C">
              <w:rPr>
                <w:rFonts w:ascii="Times New Roman" w:hAnsi="Times New Roman"/>
                <w:sz w:val="24"/>
              </w:rPr>
              <w:t>32, paragrafo</w:t>
            </w:r>
            <w:r w:rsidR="005424B9" w:rsidRPr="000D715C">
              <w:rPr>
                <w:rFonts w:ascii="Times New Roman" w:hAnsi="Times New Roman"/>
                <w:sz w:val="24"/>
              </w:rPr>
              <w:t> </w:t>
            </w:r>
            <w:r w:rsidRPr="000D715C">
              <w:rPr>
                <w:rFonts w:ascii="Times New Roman" w:hAnsi="Times New Roman"/>
                <w:sz w:val="24"/>
              </w:rPr>
              <w:t>1, del CRR (importo negativo).</w:t>
            </w:r>
          </w:p>
        </w:tc>
      </w:tr>
      <w:tr w:rsidR="00C85971" w:rsidRPr="000D715C" w14:paraId="04770087" w14:textId="77777777" w:rsidTr="00D819DE">
        <w:tc>
          <w:tcPr>
            <w:tcW w:w="1172" w:type="dxa"/>
            <w:vAlign w:val="center"/>
          </w:tcPr>
          <w:p w14:paraId="7A814A94"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14</w:t>
            </w:r>
          </w:p>
        </w:tc>
        <w:tc>
          <w:tcPr>
            <w:tcW w:w="7242" w:type="dxa"/>
            <w:vAlign w:val="center"/>
          </w:tcPr>
          <w:p w14:paraId="4D170913" w14:textId="1399AB1B"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 profitti o le perdite sulle passività dell</w:t>
            </w:r>
            <w:r w:rsidR="005424B9" w:rsidRPr="000D715C">
              <w:rPr>
                <w:rFonts w:ascii="Times New Roman" w:hAnsi="Times New Roman"/>
                <w:sz w:val="24"/>
              </w:rPr>
              <w:t>'</w:t>
            </w:r>
            <w:r w:rsidRPr="000D715C">
              <w:rPr>
                <w:rFonts w:ascii="Times New Roman" w:hAnsi="Times New Roman"/>
                <w:sz w:val="24"/>
              </w:rPr>
              <w:t>ente valutate al valore equo dovuti a variazioni del merito di credito dell</w:t>
            </w:r>
            <w:r w:rsidR="005424B9" w:rsidRPr="000D715C">
              <w:rPr>
                <w:rFonts w:ascii="Times New Roman" w:hAnsi="Times New Roman"/>
                <w:sz w:val="24"/>
              </w:rPr>
              <w:t>'</w:t>
            </w:r>
            <w:r w:rsidRPr="000D715C">
              <w:rPr>
                <w:rFonts w:ascii="Times New Roman" w:hAnsi="Times New Roman"/>
                <w:sz w:val="24"/>
              </w:rPr>
              <w:t>ente</w:t>
            </w:r>
          </w:p>
          <w:p w14:paraId="07C3FABE" w14:textId="5F423779"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 profitti o le perdite sulle passività dell</w:t>
            </w:r>
            <w:r w:rsidR="005424B9" w:rsidRPr="000D715C">
              <w:rPr>
                <w:rFonts w:ascii="Times New Roman" w:hAnsi="Times New Roman"/>
                <w:sz w:val="24"/>
              </w:rPr>
              <w:t>'</w:t>
            </w:r>
            <w:r w:rsidRPr="000D715C">
              <w:rPr>
                <w:rFonts w:ascii="Times New Roman" w:hAnsi="Times New Roman"/>
                <w:sz w:val="24"/>
              </w:rPr>
              <w:t>ente valutate al valore equo dovuti a variazioni del merito di credito dell</w:t>
            </w:r>
            <w:r w:rsidR="005424B9" w:rsidRPr="000D715C">
              <w:rPr>
                <w:rFonts w:ascii="Times New Roman" w:hAnsi="Times New Roman"/>
                <w:sz w:val="24"/>
              </w:rPr>
              <w:t>'</w:t>
            </w:r>
            <w:r w:rsidRPr="000D715C">
              <w:rPr>
                <w:rFonts w:ascii="Times New Roman" w:hAnsi="Times New Roman"/>
                <w:sz w:val="24"/>
              </w:rPr>
              <w:t>ente conformemente all</w:t>
            </w:r>
            <w:r w:rsidR="005424B9" w:rsidRPr="000D715C">
              <w:rPr>
                <w:rFonts w:ascii="Times New Roman" w:hAnsi="Times New Roman"/>
                <w:sz w:val="24"/>
              </w:rPr>
              <w:t>'</w:t>
            </w:r>
            <w:r w:rsidRPr="000D715C">
              <w:rPr>
                <w:rFonts w:ascii="Times New Roman" w:hAnsi="Times New Roman"/>
                <w:sz w:val="24"/>
              </w:rPr>
              <w:t>articolo 33, paragrafo1, lettera b), del CRR.</w:t>
            </w:r>
          </w:p>
        </w:tc>
      </w:tr>
      <w:tr w:rsidR="00C85971" w:rsidRPr="000D715C" w14:paraId="68D64C29" w14:textId="77777777" w:rsidTr="00D819DE">
        <w:tc>
          <w:tcPr>
            <w:tcW w:w="1172" w:type="dxa"/>
            <w:vAlign w:val="center"/>
          </w:tcPr>
          <w:p w14:paraId="645BE2AE"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15</w:t>
            </w:r>
          </w:p>
        </w:tc>
        <w:tc>
          <w:tcPr>
            <w:tcW w:w="7242" w:type="dxa"/>
            <w:vAlign w:val="center"/>
          </w:tcPr>
          <w:p w14:paraId="34140A6C"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Attività dei fondi pensione a prestazioni definite (importo negativo)</w:t>
            </w:r>
          </w:p>
          <w:p w14:paraId="7FE0A992" w14:textId="5B5AEA73"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Attività dei fondi pensione a prestazioni definite conformemente all</w:t>
            </w:r>
            <w:r w:rsidR="005424B9" w:rsidRPr="000D715C">
              <w:rPr>
                <w:rFonts w:ascii="Times New Roman" w:hAnsi="Times New Roman"/>
                <w:sz w:val="24"/>
              </w:rPr>
              <w:t>'</w:t>
            </w:r>
            <w:r w:rsidRPr="000D715C">
              <w:rPr>
                <w:rFonts w:ascii="Times New Roman" w:hAnsi="Times New Roman"/>
                <w:sz w:val="24"/>
              </w:rPr>
              <w:t>articolo 36, paragrafo 1, lettera e), e all</w:t>
            </w:r>
            <w:r w:rsidR="005424B9" w:rsidRPr="000D715C">
              <w:rPr>
                <w:rFonts w:ascii="Times New Roman" w:hAnsi="Times New Roman"/>
                <w:sz w:val="24"/>
              </w:rPr>
              <w:t>'</w:t>
            </w:r>
            <w:r w:rsidRPr="000D715C">
              <w:rPr>
                <w:rFonts w:ascii="Times New Roman" w:hAnsi="Times New Roman"/>
                <w:sz w:val="24"/>
              </w:rPr>
              <w:t>articolo 41 del CRR (importo negativo).</w:t>
            </w:r>
          </w:p>
        </w:tc>
      </w:tr>
      <w:tr w:rsidR="00C85971" w:rsidRPr="000D715C" w14:paraId="3681BE55" w14:textId="77777777" w:rsidTr="00D819DE">
        <w:tc>
          <w:tcPr>
            <w:tcW w:w="1172" w:type="dxa"/>
            <w:vAlign w:val="center"/>
          </w:tcPr>
          <w:p w14:paraId="0034A022"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16</w:t>
            </w:r>
          </w:p>
        </w:tc>
        <w:tc>
          <w:tcPr>
            <w:tcW w:w="7242" w:type="dxa"/>
            <w:vAlign w:val="center"/>
          </w:tcPr>
          <w:p w14:paraId="7DEFE6A7" w14:textId="5EB7F303"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Propri strumenti del capitale CET1 detenuti dall</w:t>
            </w:r>
            <w:r w:rsidR="005424B9" w:rsidRPr="000D715C">
              <w:rPr>
                <w:rFonts w:ascii="Times New Roman" w:hAnsi="Times New Roman"/>
                <w:sz w:val="24"/>
              </w:rPr>
              <w:t>'</w:t>
            </w:r>
            <w:r w:rsidRPr="000D715C">
              <w:rPr>
                <w:rFonts w:ascii="Times New Roman" w:hAnsi="Times New Roman"/>
                <w:sz w:val="24"/>
              </w:rPr>
              <w:t>ente direttamente, indirettamente o sinteticamente (importo negativo)</w:t>
            </w:r>
          </w:p>
          <w:p w14:paraId="77709E9C" w14:textId="092EDE26"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Propri strumenti del capitale CET1 detenuti dall</w:t>
            </w:r>
            <w:r w:rsidR="005424B9" w:rsidRPr="000D715C">
              <w:rPr>
                <w:rFonts w:ascii="Times New Roman" w:hAnsi="Times New Roman"/>
                <w:sz w:val="24"/>
              </w:rPr>
              <w:t>'</w:t>
            </w:r>
            <w:r w:rsidRPr="000D715C">
              <w:rPr>
                <w:rFonts w:ascii="Times New Roman" w:hAnsi="Times New Roman"/>
                <w:sz w:val="24"/>
              </w:rPr>
              <w:t>ente direttamente, indirettamente o sinteticamente, di cui all</w:t>
            </w:r>
            <w:r w:rsidR="005424B9" w:rsidRPr="000D715C">
              <w:rPr>
                <w:rFonts w:ascii="Times New Roman" w:hAnsi="Times New Roman"/>
                <w:sz w:val="24"/>
              </w:rPr>
              <w:t>'</w:t>
            </w:r>
            <w:r w:rsidRPr="000D715C">
              <w:rPr>
                <w:rFonts w:ascii="Times New Roman" w:hAnsi="Times New Roman"/>
                <w:sz w:val="24"/>
              </w:rPr>
              <w:t>articolo 36, paragrafo 1, lettera</w:t>
            </w:r>
            <w:r w:rsidR="005424B9" w:rsidRPr="000D715C">
              <w:rPr>
                <w:rFonts w:ascii="Times New Roman" w:hAnsi="Times New Roman"/>
                <w:sz w:val="24"/>
              </w:rPr>
              <w:t> </w:t>
            </w:r>
            <w:r w:rsidRPr="000D715C">
              <w:rPr>
                <w:rFonts w:ascii="Times New Roman" w:hAnsi="Times New Roman"/>
                <w:sz w:val="24"/>
              </w:rPr>
              <w:t>f), e all</w:t>
            </w:r>
            <w:r w:rsidR="005424B9" w:rsidRPr="000D715C">
              <w:rPr>
                <w:rFonts w:ascii="Times New Roman" w:hAnsi="Times New Roman"/>
                <w:sz w:val="24"/>
              </w:rPr>
              <w:t>'</w:t>
            </w:r>
            <w:r w:rsidRPr="000D715C">
              <w:rPr>
                <w:rFonts w:ascii="Times New Roman" w:hAnsi="Times New Roman"/>
                <w:sz w:val="24"/>
              </w:rPr>
              <w:t>articolo 42 del CRR (importo negativo).</w:t>
            </w:r>
          </w:p>
        </w:tc>
      </w:tr>
      <w:tr w:rsidR="00C85971" w:rsidRPr="000D715C" w14:paraId="32F833B6" w14:textId="77777777" w:rsidTr="00D819DE">
        <w:tc>
          <w:tcPr>
            <w:tcW w:w="1172" w:type="dxa"/>
            <w:vAlign w:val="center"/>
          </w:tcPr>
          <w:p w14:paraId="2A6F9FDE"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17</w:t>
            </w:r>
          </w:p>
        </w:tc>
        <w:tc>
          <w:tcPr>
            <w:tcW w:w="7242" w:type="dxa"/>
            <w:vAlign w:val="center"/>
          </w:tcPr>
          <w:p w14:paraId="1754CB16" w14:textId="3D878501"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Strumenti di capitale CET1 di soggetti del settore finanziario detenuti direttamente, indirettamente o sinteticamente quando tali soggetti detengono con l</w:t>
            </w:r>
            <w:r w:rsidR="005424B9" w:rsidRPr="000D715C">
              <w:rPr>
                <w:rFonts w:ascii="Times New Roman" w:hAnsi="Times New Roman"/>
                <w:sz w:val="24"/>
              </w:rPr>
              <w:t>'</w:t>
            </w:r>
            <w:r w:rsidRPr="000D715C">
              <w:rPr>
                <w:rFonts w:ascii="Times New Roman" w:hAnsi="Times New Roman"/>
                <w:sz w:val="24"/>
              </w:rPr>
              <w:t>ente una partecipazione incrociata reciproca concepita per gonfiare artificialmente i fondi propri dell</w:t>
            </w:r>
            <w:r w:rsidR="005424B9" w:rsidRPr="000D715C">
              <w:rPr>
                <w:rFonts w:ascii="Times New Roman" w:hAnsi="Times New Roman"/>
                <w:sz w:val="24"/>
              </w:rPr>
              <w:t>'</w:t>
            </w:r>
            <w:r w:rsidRPr="000D715C">
              <w:rPr>
                <w:rFonts w:ascii="Times New Roman" w:hAnsi="Times New Roman"/>
                <w:sz w:val="24"/>
              </w:rPr>
              <w:t>ente (importo negativo)</w:t>
            </w:r>
          </w:p>
          <w:p w14:paraId="2AFFD0C1" w14:textId="1D2422A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Strumenti di capitale CET1 di soggetti del settore finanziario detenuti direttamente, indirettamente o sinteticamente quando tali soggetti detengono con l</w:t>
            </w:r>
            <w:r w:rsidR="005424B9" w:rsidRPr="000D715C">
              <w:rPr>
                <w:rFonts w:ascii="Times New Roman" w:hAnsi="Times New Roman"/>
                <w:sz w:val="24"/>
              </w:rPr>
              <w:t>'</w:t>
            </w:r>
            <w:r w:rsidRPr="000D715C">
              <w:rPr>
                <w:rFonts w:ascii="Times New Roman" w:hAnsi="Times New Roman"/>
                <w:sz w:val="24"/>
              </w:rPr>
              <w:t xml:space="preserve">ente una partecipazione incrociata reciproca concepita </w:t>
            </w:r>
            <w:r w:rsidRPr="000D715C">
              <w:rPr>
                <w:rFonts w:ascii="Times New Roman" w:hAnsi="Times New Roman"/>
                <w:sz w:val="24"/>
              </w:rPr>
              <w:lastRenderedPageBreak/>
              <w:t>per gonfiare artificialmente i fondi propri dell</w:t>
            </w:r>
            <w:r w:rsidR="005424B9" w:rsidRPr="000D715C">
              <w:rPr>
                <w:rFonts w:ascii="Times New Roman" w:hAnsi="Times New Roman"/>
                <w:sz w:val="24"/>
              </w:rPr>
              <w:t>'</w:t>
            </w:r>
            <w:r w:rsidRPr="000D715C">
              <w:rPr>
                <w:rFonts w:ascii="Times New Roman" w:hAnsi="Times New Roman"/>
                <w:sz w:val="24"/>
              </w:rPr>
              <w:t>ente, di cui all</w:t>
            </w:r>
            <w:r w:rsidR="005424B9" w:rsidRPr="000D715C">
              <w:rPr>
                <w:rFonts w:ascii="Times New Roman" w:hAnsi="Times New Roman"/>
                <w:sz w:val="24"/>
              </w:rPr>
              <w:t>'</w:t>
            </w:r>
            <w:r w:rsidRPr="000D715C">
              <w:rPr>
                <w:rFonts w:ascii="Times New Roman" w:hAnsi="Times New Roman"/>
                <w:sz w:val="24"/>
              </w:rPr>
              <w:t>articolo 36, paragrafo 1, lettera g), e all</w:t>
            </w:r>
            <w:r w:rsidR="005424B9" w:rsidRPr="000D715C">
              <w:rPr>
                <w:rFonts w:ascii="Times New Roman" w:hAnsi="Times New Roman"/>
                <w:sz w:val="24"/>
              </w:rPr>
              <w:t>'</w:t>
            </w:r>
            <w:r w:rsidRPr="000D715C">
              <w:rPr>
                <w:rFonts w:ascii="Times New Roman" w:hAnsi="Times New Roman"/>
                <w:sz w:val="24"/>
              </w:rPr>
              <w:t>articolo 44 del CRR (importo negativo).</w:t>
            </w:r>
          </w:p>
        </w:tc>
      </w:tr>
      <w:tr w:rsidR="00C85971" w:rsidRPr="000D715C" w14:paraId="6B072F45" w14:textId="77777777" w:rsidTr="00D819DE">
        <w:tc>
          <w:tcPr>
            <w:tcW w:w="1172" w:type="dxa"/>
            <w:vAlign w:val="center"/>
          </w:tcPr>
          <w:p w14:paraId="76E49E69"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lastRenderedPageBreak/>
              <w:t>18</w:t>
            </w:r>
          </w:p>
        </w:tc>
        <w:tc>
          <w:tcPr>
            <w:tcW w:w="7242" w:type="dxa"/>
            <w:vAlign w:val="center"/>
          </w:tcPr>
          <w:p w14:paraId="3B9E256B" w14:textId="44CFA6C3" w:rsidR="00C85971" w:rsidRPr="000D715C" w:rsidRDefault="00C85971" w:rsidP="00D819DE">
            <w:pPr>
              <w:spacing w:after="200"/>
              <w:jc w:val="both"/>
              <w:rPr>
                <w:rFonts w:ascii="Times New Roman" w:hAnsi="Times New Roman" w:cs="Times New Roman"/>
                <w:spacing w:val="-4"/>
                <w:sz w:val="24"/>
              </w:rPr>
            </w:pPr>
            <w:r w:rsidRPr="000D715C">
              <w:rPr>
                <w:rFonts w:ascii="Times New Roman" w:hAnsi="Times New Roman"/>
                <w:spacing w:val="-4"/>
                <w:sz w:val="24"/>
              </w:rPr>
              <w:t>Strumenti di capitale CET1 di soggetti del settore finanziario detenuti dall</w:t>
            </w:r>
            <w:r w:rsidR="005424B9" w:rsidRPr="000D715C">
              <w:rPr>
                <w:rFonts w:ascii="Times New Roman" w:hAnsi="Times New Roman"/>
                <w:spacing w:val="-4"/>
                <w:sz w:val="24"/>
              </w:rPr>
              <w:t>'</w:t>
            </w:r>
            <w:r w:rsidRPr="000D715C">
              <w:rPr>
                <w:rFonts w:ascii="Times New Roman" w:hAnsi="Times New Roman"/>
                <w:spacing w:val="-4"/>
                <w:sz w:val="24"/>
              </w:rPr>
              <w:t>ente direttamente, indirettamente o sinteticamente, quando l</w:t>
            </w:r>
            <w:r w:rsidR="005424B9" w:rsidRPr="000D715C">
              <w:rPr>
                <w:rFonts w:ascii="Times New Roman" w:hAnsi="Times New Roman"/>
                <w:spacing w:val="-4"/>
                <w:sz w:val="24"/>
              </w:rPr>
              <w:t>'</w:t>
            </w:r>
            <w:r w:rsidRPr="000D715C">
              <w:rPr>
                <w:rFonts w:ascii="Times New Roman" w:hAnsi="Times New Roman"/>
                <w:spacing w:val="-4"/>
                <w:sz w:val="24"/>
              </w:rPr>
              <w:t>ente non ha un investimento significativo in tali soggetti (importo superiore alla soglia del</w:t>
            </w:r>
            <w:r w:rsidR="000D715C" w:rsidRPr="000D715C">
              <w:rPr>
                <w:rFonts w:ascii="Times New Roman" w:hAnsi="Times New Roman"/>
                <w:spacing w:val="-4"/>
                <w:sz w:val="24"/>
              </w:rPr>
              <w:t> </w:t>
            </w:r>
            <w:r w:rsidRPr="000D715C">
              <w:rPr>
                <w:rFonts w:ascii="Times New Roman" w:hAnsi="Times New Roman"/>
                <w:spacing w:val="-4"/>
                <w:sz w:val="24"/>
              </w:rPr>
              <w:t>10 % e al netto di posizioni corte ammissibili) (importo negativo)</w:t>
            </w:r>
          </w:p>
          <w:p w14:paraId="3D0E5CB4" w14:textId="4B74CE0D" w:rsidR="00C85971" w:rsidRPr="000D715C" w:rsidRDefault="00C85971" w:rsidP="00D819DE">
            <w:pPr>
              <w:spacing w:after="200"/>
              <w:jc w:val="both"/>
              <w:rPr>
                <w:rFonts w:ascii="Times New Roman" w:hAnsi="Times New Roman" w:cs="Times New Roman"/>
                <w:spacing w:val="-2"/>
                <w:sz w:val="24"/>
              </w:rPr>
            </w:pPr>
            <w:r w:rsidRPr="000D715C">
              <w:rPr>
                <w:rFonts w:ascii="Times New Roman" w:hAnsi="Times New Roman"/>
                <w:spacing w:val="-2"/>
                <w:sz w:val="24"/>
              </w:rPr>
              <w:t>Strumenti di capitale CET1 di soggetti del settore finanziario detenuti dall</w:t>
            </w:r>
            <w:r w:rsidR="005424B9" w:rsidRPr="000D715C">
              <w:rPr>
                <w:rFonts w:ascii="Times New Roman" w:hAnsi="Times New Roman"/>
                <w:spacing w:val="-2"/>
                <w:sz w:val="24"/>
              </w:rPr>
              <w:t>'</w:t>
            </w:r>
            <w:r w:rsidRPr="000D715C">
              <w:rPr>
                <w:rFonts w:ascii="Times New Roman" w:hAnsi="Times New Roman"/>
                <w:spacing w:val="-2"/>
                <w:sz w:val="24"/>
              </w:rPr>
              <w:t>ente direttamente, indirettamente o sinteticamente, quando l</w:t>
            </w:r>
            <w:r w:rsidR="005424B9" w:rsidRPr="000D715C">
              <w:rPr>
                <w:rFonts w:ascii="Times New Roman" w:hAnsi="Times New Roman"/>
                <w:spacing w:val="-2"/>
                <w:sz w:val="24"/>
              </w:rPr>
              <w:t>'</w:t>
            </w:r>
            <w:r w:rsidRPr="000D715C">
              <w:rPr>
                <w:rFonts w:ascii="Times New Roman" w:hAnsi="Times New Roman"/>
                <w:spacing w:val="-2"/>
                <w:sz w:val="24"/>
              </w:rPr>
              <w:t>ente non ha un investimento significativo in tali soggetti (importo superiore alla soglia del</w:t>
            </w:r>
            <w:r w:rsidR="005424B9" w:rsidRPr="000D715C">
              <w:rPr>
                <w:rFonts w:ascii="Times New Roman" w:hAnsi="Times New Roman"/>
                <w:spacing w:val="-2"/>
                <w:sz w:val="24"/>
              </w:rPr>
              <w:t> </w:t>
            </w:r>
            <w:r w:rsidRPr="000D715C">
              <w:rPr>
                <w:rFonts w:ascii="Times New Roman" w:hAnsi="Times New Roman"/>
                <w:spacing w:val="-2"/>
                <w:sz w:val="24"/>
              </w:rPr>
              <w:t>10 % e al netto di posizioni corte ammissibili), di cui all</w:t>
            </w:r>
            <w:r w:rsidR="005424B9" w:rsidRPr="000D715C">
              <w:rPr>
                <w:rFonts w:ascii="Times New Roman" w:hAnsi="Times New Roman"/>
                <w:spacing w:val="-2"/>
                <w:sz w:val="24"/>
              </w:rPr>
              <w:t>'</w:t>
            </w:r>
            <w:r w:rsidRPr="000D715C">
              <w:rPr>
                <w:rFonts w:ascii="Times New Roman" w:hAnsi="Times New Roman"/>
                <w:spacing w:val="-2"/>
                <w:sz w:val="24"/>
              </w:rPr>
              <w:t>articolo</w:t>
            </w:r>
            <w:r w:rsidR="005424B9" w:rsidRPr="000D715C">
              <w:rPr>
                <w:rFonts w:ascii="Times New Roman" w:hAnsi="Times New Roman"/>
                <w:spacing w:val="-2"/>
                <w:sz w:val="24"/>
              </w:rPr>
              <w:t> </w:t>
            </w:r>
            <w:r w:rsidRPr="000D715C">
              <w:rPr>
                <w:rFonts w:ascii="Times New Roman" w:hAnsi="Times New Roman"/>
                <w:spacing w:val="-2"/>
                <w:sz w:val="24"/>
              </w:rPr>
              <w:t>36, paragrafo</w:t>
            </w:r>
            <w:r w:rsidR="005424B9" w:rsidRPr="000D715C">
              <w:rPr>
                <w:rFonts w:ascii="Times New Roman" w:hAnsi="Times New Roman"/>
                <w:spacing w:val="-2"/>
                <w:sz w:val="24"/>
              </w:rPr>
              <w:t> </w:t>
            </w:r>
            <w:r w:rsidRPr="000D715C">
              <w:rPr>
                <w:rFonts w:ascii="Times New Roman" w:hAnsi="Times New Roman"/>
                <w:spacing w:val="-2"/>
                <w:sz w:val="24"/>
              </w:rPr>
              <w:t>1, lettera</w:t>
            </w:r>
            <w:r w:rsidR="005424B9" w:rsidRPr="000D715C">
              <w:rPr>
                <w:rFonts w:ascii="Times New Roman" w:hAnsi="Times New Roman"/>
                <w:spacing w:val="-2"/>
                <w:sz w:val="24"/>
              </w:rPr>
              <w:t> </w:t>
            </w:r>
            <w:r w:rsidRPr="000D715C">
              <w:rPr>
                <w:rFonts w:ascii="Times New Roman" w:hAnsi="Times New Roman"/>
                <w:spacing w:val="-2"/>
                <w:sz w:val="24"/>
              </w:rPr>
              <w:t>h), agli articoli 43, 45, 46, all</w:t>
            </w:r>
            <w:r w:rsidR="005424B9" w:rsidRPr="000D715C">
              <w:rPr>
                <w:rFonts w:ascii="Times New Roman" w:hAnsi="Times New Roman"/>
                <w:spacing w:val="-2"/>
                <w:sz w:val="24"/>
              </w:rPr>
              <w:t>'</w:t>
            </w:r>
            <w:r w:rsidRPr="000D715C">
              <w:rPr>
                <w:rFonts w:ascii="Times New Roman" w:hAnsi="Times New Roman"/>
                <w:spacing w:val="-2"/>
                <w:sz w:val="24"/>
              </w:rPr>
              <w:t>articolo</w:t>
            </w:r>
            <w:r w:rsidR="005424B9" w:rsidRPr="000D715C">
              <w:rPr>
                <w:rFonts w:ascii="Times New Roman" w:hAnsi="Times New Roman"/>
                <w:spacing w:val="-2"/>
                <w:sz w:val="24"/>
              </w:rPr>
              <w:t> </w:t>
            </w:r>
            <w:r w:rsidRPr="000D715C">
              <w:rPr>
                <w:rFonts w:ascii="Times New Roman" w:hAnsi="Times New Roman"/>
                <w:spacing w:val="-2"/>
                <w:sz w:val="24"/>
              </w:rPr>
              <w:t>49, paragrafi 2 e 3, e all</w:t>
            </w:r>
            <w:r w:rsidR="005424B9" w:rsidRPr="000D715C">
              <w:rPr>
                <w:rFonts w:ascii="Times New Roman" w:hAnsi="Times New Roman"/>
                <w:spacing w:val="-2"/>
                <w:sz w:val="24"/>
              </w:rPr>
              <w:t>'</w:t>
            </w:r>
            <w:r w:rsidRPr="000D715C">
              <w:rPr>
                <w:rFonts w:ascii="Times New Roman" w:hAnsi="Times New Roman"/>
                <w:spacing w:val="-2"/>
                <w:sz w:val="24"/>
              </w:rPr>
              <w:t>articolo 79 del CRR (importo negativo).</w:t>
            </w:r>
          </w:p>
        </w:tc>
      </w:tr>
      <w:tr w:rsidR="00C85971" w:rsidRPr="000D715C" w14:paraId="6302E329" w14:textId="77777777" w:rsidTr="00D819DE">
        <w:tc>
          <w:tcPr>
            <w:tcW w:w="1172" w:type="dxa"/>
            <w:vAlign w:val="center"/>
          </w:tcPr>
          <w:p w14:paraId="0DAD47A8"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19</w:t>
            </w:r>
          </w:p>
        </w:tc>
        <w:tc>
          <w:tcPr>
            <w:tcW w:w="7242" w:type="dxa"/>
            <w:vAlign w:val="center"/>
          </w:tcPr>
          <w:p w14:paraId="4BA2A690" w14:textId="7E5A1EA8"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Strumenti di capitale CET1 di soggetti del settore finanziario detenuti dall</w:t>
            </w:r>
            <w:r w:rsidR="005424B9" w:rsidRPr="000D715C">
              <w:rPr>
                <w:rFonts w:ascii="Times New Roman" w:hAnsi="Times New Roman"/>
                <w:sz w:val="24"/>
              </w:rPr>
              <w:t>'</w:t>
            </w:r>
            <w:r w:rsidRPr="000D715C">
              <w:rPr>
                <w:rFonts w:ascii="Times New Roman" w:hAnsi="Times New Roman"/>
                <w:sz w:val="24"/>
              </w:rPr>
              <w:t>ente direttamente, indirettamente o sinteticamente, quando l</w:t>
            </w:r>
            <w:r w:rsidR="005424B9" w:rsidRPr="000D715C">
              <w:rPr>
                <w:rFonts w:ascii="Times New Roman" w:hAnsi="Times New Roman"/>
                <w:sz w:val="24"/>
              </w:rPr>
              <w:t>'</w:t>
            </w:r>
            <w:r w:rsidRPr="000D715C">
              <w:rPr>
                <w:rFonts w:ascii="Times New Roman" w:hAnsi="Times New Roman"/>
                <w:sz w:val="24"/>
              </w:rPr>
              <w:t>ente ha un investimento significativo in tali soggetti (importo superiore alla soglia del 10 % e al netto di posizioni corte ammissibili) (importo negativo)</w:t>
            </w:r>
          </w:p>
          <w:p w14:paraId="39DCB46F" w14:textId="64E26BC0"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Strumenti di capitale CET1 di soggetti del settore finanziario detenuti dall</w:t>
            </w:r>
            <w:r w:rsidR="005424B9" w:rsidRPr="000D715C">
              <w:rPr>
                <w:rFonts w:ascii="Times New Roman" w:hAnsi="Times New Roman"/>
                <w:sz w:val="24"/>
              </w:rPr>
              <w:t>'</w:t>
            </w:r>
            <w:r w:rsidRPr="000D715C">
              <w:rPr>
                <w:rFonts w:ascii="Times New Roman" w:hAnsi="Times New Roman"/>
                <w:sz w:val="24"/>
              </w:rPr>
              <w:t>ente direttamente, indirettamente o sinteticamente, quando l</w:t>
            </w:r>
            <w:r w:rsidR="005424B9" w:rsidRPr="000D715C">
              <w:rPr>
                <w:rFonts w:ascii="Times New Roman" w:hAnsi="Times New Roman"/>
                <w:sz w:val="24"/>
              </w:rPr>
              <w:t>'</w:t>
            </w:r>
            <w:r w:rsidRPr="000D715C">
              <w:rPr>
                <w:rFonts w:ascii="Times New Roman" w:hAnsi="Times New Roman"/>
                <w:sz w:val="24"/>
              </w:rPr>
              <w:t>ente ha un investimento significativo in tali soggetti (importo superiore alla soglia del 10 % e al netto di posizioni corte ammissibili), di cui all</w:t>
            </w:r>
            <w:r w:rsidR="005424B9" w:rsidRPr="000D715C">
              <w:rPr>
                <w:rFonts w:ascii="Times New Roman" w:hAnsi="Times New Roman"/>
                <w:sz w:val="24"/>
              </w:rPr>
              <w:t>'</w:t>
            </w:r>
            <w:r w:rsidRPr="000D715C">
              <w:rPr>
                <w:rFonts w:ascii="Times New Roman" w:hAnsi="Times New Roman"/>
                <w:sz w:val="24"/>
              </w:rPr>
              <w:t>articolo 36, paragrafo 1, lettera i), agli articoli 43, 45 e 47, all</w:t>
            </w:r>
            <w:r w:rsidR="005424B9" w:rsidRPr="000D715C">
              <w:rPr>
                <w:rFonts w:ascii="Times New Roman" w:hAnsi="Times New Roman"/>
                <w:sz w:val="24"/>
              </w:rPr>
              <w:t>'</w:t>
            </w:r>
            <w:r w:rsidRPr="000D715C">
              <w:rPr>
                <w:rFonts w:ascii="Times New Roman" w:hAnsi="Times New Roman"/>
                <w:sz w:val="24"/>
              </w:rPr>
              <w:t>articolo 48, paragrafo 1, lettera b), e all</w:t>
            </w:r>
            <w:r w:rsidR="005424B9" w:rsidRPr="000D715C">
              <w:rPr>
                <w:rFonts w:ascii="Times New Roman" w:hAnsi="Times New Roman"/>
                <w:sz w:val="24"/>
              </w:rPr>
              <w:t>'</w:t>
            </w:r>
            <w:r w:rsidRPr="000D715C">
              <w:rPr>
                <w:rFonts w:ascii="Times New Roman" w:hAnsi="Times New Roman"/>
                <w:sz w:val="24"/>
              </w:rPr>
              <w:t>articolo 49, paragrafi 1, 2 e 3, del CRR (importo negativo).</w:t>
            </w:r>
          </w:p>
        </w:tc>
      </w:tr>
      <w:tr w:rsidR="00C85971" w:rsidRPr="000D715C" w14:paraId="42E6F488" w14:textId="77777777" w:rsidTr="00D819DE">
        <w:tc>
          <w:tcPr>
            <w:tcW w:w="1172" w:type="dxa"/>
            <w:vAlign w:val="center"/>
          </w:tcPr>
          <w:p w14:paraId="00D177C3"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20</w:t>
            </w:r>
          </w:p>
        </w:tc>
        <w:tc>
          <w:tcPr>
            <w:tcW w:w="7242" w:type="dxa"/>
            <w:vAlign w:val="center"/>
          </w:tcPr>
          <w:p w14:paraId="7EEC1B79"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Non applicabile</w:t>
            </w:r>
          </w:p>
        </w:tc>
      </w:tr>
      <w:tr w:rsidR="00C85971" w:rsidRPr="000D715C" w14:paraId="61B4CB13" w14:textId="77777777" w:rsidTr="00D819DE">
        <w:tc>
          <w:tcPr>
            <w:tcW w:w="1172" w:type="dxa"/>
            <w:vAlign w:val="center"/>
          </w:tcPr>
          <w:p w14:paraId="313FE949"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EU-20a</w:t>
            </w:r>
          </w:p>
        </w:tc>
        <w:tc>
          <w:tcPr>
            <w:tcW w:w="7242" w:type="dxa"/>
            <w:vAlign w:val="center"/>
          </w:tcPr>
          <w:p w14:paraId="7BE5743A" w14:textId="4F179AD1"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Importo dell</w:t>
            </w:r>
            <w:r w:rsidR="005424B9" w:rsidRPr="000D715C">
              <w:rPr>
                <w:rFonts w:ascii="Times New Roman" w:hAnsi="Times New Roman"/>
                <w:sz w:val="24"/>
              </w:rPr>
              <w:t>'</w:t>
            </w:r>
            <w:r w:rsidRPr="000D715C">
              <w:rPr>
                <w:rFonts w:ascii="Times New Roman" w:hAnsi="Times New Roman"/>
                <w:sz w:val="24"/>
              </w:rPr>
              <w:t>esposizione dei seguenti elementi, che possiedono i requisiti per ricevere un fattore di ponderazione del rischio pari al 1 250 %, quando l</w:t>
            </w:r>
            <w:r w:rsidR="005424B9" w:rsidRPr="000D715C">
              <w:rPr>
                <w:rFonts w:ascii="Times New Roman" w:hAnsi="Times New Roman"/>
                <w:sz w:val="24"/>
              </w:rPr>
              <w:t>'</w:t>
            </w:r>
            <w:r w:rsidRPr="000D715C">
              <w:rPr>
                <w:rFonts w:ascii="Times New Roman" w:hAnsi="Times New Roman"/>
                <w:sz w:val="24"/>
              </w:rPr>
              <w:t>ente opta per la deduzione</w:t>
            </w:r>
          </w:p>
          <w:p w14:paraId="2CA8C5B0" w14:textId="280F85CF" w:rsidR="00C85971" w:rsidRPr="000D715C" w:rsidRDefault="00C85971" w:rsidP="00D819DE">
            <w:pPr>
              <w:spacing w:after="200"/>
              <w:jc w:val="both"/>
              <w:rPr>
                <w:rFonts w:ascii="Times New Roman" w:hAnsi="Times New Roman" w:cs="Times New Roman"/>
                <w:spacing w:val="-4"/>
                <w:sz w:val="24"/>
              </w:rPr>
            </w:pPr>
            <w:r w:rsidRPr="000D715C">
              <w:rPr>
                <w:rFonts w:ascii="Times New Roman" w:hAnsi="Times New Roman"/>
                <w:spacing w:val="-4"/>
                <w:sz w:val="24"/>
              </w:rPr>
              <w:t>Importo dell</w:t>
            </w:r>
            <w:r w:rsidR="005424B9" w:rsidRPr="000D715C">
              <w:rPr>
                <w:rFonts w:ascii="Times New Roman" w:hAnsi="Times New Roman"/>
                <w:spacing w:val="-4"/>
                <w:sz w:val="24"/>
              </w:rPr>
              <w:t>'</w:t>
            </w:r>
            <w:r w:rsidRPr="000D715C">
              <w:rPr>
                <w:rFonts w:ascii="Times New Roman" w:hAnsi="Times New Roman"/>
                <w:spacing w:val="-4"/>
                <w:sz w:val="24"/>
              </w:rPr>
              <w:t>esposizione che possiede i requisiti per ricevere un fattore di ponderazione del rischio pari al 1 250 %, quando l</w:t>
            </w:r>
            <w:r w:rsidR="005424B9" w:rsidRPr="000D715C">
              <w:rPr>
                <w:rFonts w:ascii="Times New Roman" w:hAnsi="Times New Roman"/>
                <w:spacing w:val="-4"/>
                <w:sz w:val="24"/>
              </w:rPr>
              <w:t>'</w:t>
            </w:r>
            <w:r w:rsidRPr="000D715C">
              <w:rPr>
                <w:rFonts w:ascii="Times New Roman" w:hAnsi="Times New Roman"/>
                <w:spacing w:val="-4"/>
                <w:sz w:val="24"/>
              </w:rPr>
              <w:t>ente opta per la deduzione, di cui all</w:t>
            </w:r>
            <w:r w:rsidR="005424B9" w:rsidRPr="000D715C">
              <w:rPr>
                <w:rFonts w:ascii="Times New Roman" w:hAnsi="Times New Roman"/>
                <w:spacing w:val="-4"/>
                <w:sz w:val="24"/>
              </w:rPr>
              <w:t>'</w:t>
            </w:r>
            <w:r w:rsidRPr="000D715C">
              <w:rPr>
                <w:rFonts w:ascii="Times New Roman" w:hAnsi="Times New Roman"/>
                <w:spacing w:val="-4"/>
                <w:sz w:val="24"/>
              </w:rPr>
              <w:t>articolo 36, paragrafo 1, lettera k), del CRR.</w:t>
            </w:r>
          </w:p>
        </w:tc>
      </w:tr>
      <w:tr w:rsidR="00C85971" w:rsidRPr="000D715C" w14:paraId="216A2996" w14:textId="77777777" w:rsidTr="00D819DE">
        <w:tc>
          <w:tcPr>
            <w:tcW w:w="1172" w:type="dxa"/>
            <w:vAlign w:val="center"/>
          </w:tcPr>
          <w:p w14:paraId="6FDF8572"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EU-20b</w:t>
            </w:r>
          </w:p>
        </w:tc>
        <w:tc>
          <w:tcPr>
            <w:tcW w:w="7242" w:type="dxa"/>
            <w:vAlign w:val="center"/>
          </w:tcPr>
          <w:p w14:paraId="6D0F55AE"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Di cui partecipazioni qualificate al di fuori del settore finanziario (importo negativo)</w:t>
            </w:r>
          </w:p>
          <w:p w14:paraId="0056EA61" w14:textId="119F55E6" w:rsidR="00C85971" w:rsidRPr="000D715C" w:rsidRDefault="00C85971" w:rsidP="00D819DE">
            <w:pPr>
              <w:spacing w:after="200"/>
              <w:jc w:val="both"/>
              <w:rPr>
                <w:rFonts w:ascii="Times New Roman" w:hAnsi="Times New Roman" w:cs="Times New Roman"/>
                <w:spacing w:val="-2"/>
                <w:sz w:val="24"/>
              </w:rPr>
            </w:pPr>
            <w:r w:rsidRPr="000D715C">
              <w:rPr>
                <w:rFonts w:ascii="Times New Roman" w:hAnsi="Times New Roman"/>
                <w:spacing w:val="-2"/>
                <w:sz w:val="24"/>
              </w:rPr>
              <w:t>Dell</w:t>
            </w:r>
            <w:r w:rsidR="005424B9" w:rsidRPr="000D715C">
              <w:rPr>
                <w:rFonts w:ascii="Times New Roman" w:hAnsi="Times New Roman"/>
                <w:spacing w:val="-2"/>
                <w:sz w:val="24"/>
              </w:rPr>
              <w:t>'</w:t>
            </w:r>
            <w:r w:rsidRPr="000D715C">
              <w:rPr>
                <w:rFonts w:ascii="Times New Roman" w:hAnsi="Times New Roman"/>
                <w:spacing w:val="-2"/>
                <w:sz w:val="24"/>
              </w:rPr>
              <w:t>importo nella riga EU-20a, l</w:t>
            </w:r>
            <w:r w:rsidR="005424B9" w:rsidRPr="000D715C">
              <w:rPr>
                <w:rFonts w:ascii="Times New Roman" w:hAnsi="Times New Roman"/>
                <w:spacing w:val="-2"/>
                <w:sz w:val="24"/>
              </w:rPr>
              <w:t>'</w:t>
            </w:r>
            <w:r w:rsidRPr="000D715C">
              <w:rPr>
                <w:rFonts w:ascii="Times New Roman" w:hAnsi="Times New Roman"/>
                <w:spacing w:val="-2"/>
                <w:sz w:val="24"/>
              </w:rPr>
              <w:t>importo relativo alle partecipazioni qualificate al di fuori del settore finanziario, conformemente all</w:t>
            </w:r>
            <w:r w:rsidR="005424B9" w:rsidRPr="000D715C">
              <w:rPr>
                <w:rFonts w:ascii="Times New Roman" w:hAnsi="Times New Roman"/>
                <w:spacing w:val="-2"/>
                <w:sz w:val="24"/>
              </w:rPr>
              <w:t>'</w:t>
            </w:r>
            <w:r w:rsidRPr="000D715C">
              <w:rPr>
                <w:rFonts w:ascii="Times New Roman" w:hAnsi="Times New Roman"/>
                <w:spacing w:val="-2"/>
                <w:sz w:val="24"/>
              </w:rPr>
              <w:t>articolo</w:t>
            </w:r>
            <w:r w:rsidR="005424B9" w:rsidRPr="000D715C">
              <w:rPr>
                <w:rFonts w:ascii="Times New Roman" w:hAnsi="Times New Roman"/>
                <w:spacing w:val="-2"/>
                <w:sz w:val="24"/>
              </w:rPr>
              <w:t> </w:t>
            </w:r>
            <w:r w:rsidRPr="000D715C">
              <w:rPr>
                <w:rFonts w:ascii="Times New Roman" w:hAnsi="Times New Roman"/>
                <w:spacing w:val="-2"/>
                <w:sz w:val="24"/>
              </w:rPr>
              <w:t>36, paragrafo 1, lettera k), punto i), e agli articoli da 89, 90 e 91 del CRR (importo negativo).</w:t>
            </w:r>
          </w:p>
        </w:tc>
      </w:tr>
      <w:tr w:rsidR="00C85971" w:rsidRPr="000D715C" w14:paraId="694F5B83" w14:textId="77777777" w:rsidTr="00D819DE">
        <w:tc>
          <w:tcPr>
            <w:tcW w:w="1172" w:type="dxa"/>
            <w:vAlign w:val="center"/>
          </w:tcPr>
          <w:p w14:paraId="00CA28A1"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EU-20c</w:t>
            </w:r>
          </w:p>
        </w:tc>
        <w:tc>
          <w:tcPr>
            <w:tcW w:w="7242" w:type="dxa"/>
            <w:vAlign w:val="center"/>
          </w:tcPr>
          <w:p w14:paraId="66854EC6"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Di cui posizioni verso la cartolarizzazione (importo negativo)</w:t>
            </w:r>
          </w:p>
          <w:p w14:paraId="232BFB2B" w14:textId="5AA7B53D"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Dell</w:t>
            </w:r>
            <w:r w:rsidR="005424B9" w:rsidRPr="000D715C">
              <w:rPr>
                <w:rFonts w:ascii="Times New Roman" w:hAnsi="Times New Roman"/>
                <w:sz w:val="24"/>
              </w:rPr>
              <w:t>'</w:t>
            </w:r>
            <w:r w:rsidRPr="000D715C">
              <w:rPr>
                <w:rFonts w:ascii="Times New Roman" w:hAnsi="Times New Roman"/>
                <w:sz w:val="24"/>
              </w:rPr>
              <w:t>importo nella riga EU-20a di questo modello, l</w:t>
            </w:r>
            <w:r w:rsidR="005424B9" w:rsidRPr="000D715C">
              <w:rPr>
                <w:rFonts w:ascii="Times New Roman" w:hAnsi="Times New Roman"/>
                <w:sz w:val="24"/>
              </w:rPr>
              <w:t>'</w:t>
            </w:r>
            <w:r w:rsidRPr="000D715C">
              <w:rPr>
                <w:rFonts w:ascii="Times New Roman" w:hAnsi="Times New Roman"/>
                <w:sz w:val="24"/>
              </w:rPr>
              <w:t>importo relativo alle posizioni verso la cartolarizzazione conformemente all</w:t>
            </w:r>
            <w:r w:rsidR="005424B9" w:rsidRPr="000D715C">
              <w:rPr>
                <w:rFonts w:ascii="Times New Roman" w:hAnsi="Times New Roman"/>
                <w:sz w:val="24"/>
              </w:rPr>
              <w:t>'</w:t>
            </w:r>
            <w:r w:rsidRPr="000D715C">
              <w:rPr>
                <w:rFonts w:ascii="Times New Roman" w:hAnsi="Times New Roman"/>
                <w:sz w:val="24"/>
              </w:rPr>
              <w:t>articolo 36, paragrafo 1, lettera k), punto ii), all</w:t>
            </w:r>
            <w:r w:rsidR="005424B9" w:rsidRPr="000D715C">
              <w:rPr>
                <w:rFonts w:ascii="Times New Roman" w:hAnsi="Times New Roman"/>
                <w:sz w:val="24"/>
              </w:rPr>
              <w:t>'</w:t>
            </w:r>
            <w:r w:rsidRPr="000D715C">
              <w:rPr>
                <w:rFonts w:ascii="Times New Roman" w:hAnsi="Times New Roman"/>
                <w:sz w:val="24"/>
              </w:rPr>
              <w:t>articolo 243, paragrafo 1, lettera b), all</w:t>
            </w:r>
            <w:r w:rsidR="005424B9" w:rsidRPr="000D715C">
              <w:rPr>
                <w:rFonts w:ascii="Times New Roman" w:hAnsi="Times New Roman"/>
                <w:sz w:val="24"/>
              </w:rPr>
              <w:t>'</w:t>
            </w:r>
            <w:r w:rsidRPr="000D715C">
              <w:rPr>
                <w:rFonts w:ascii="Times New Roman" w:hAnsi="Times New Roman"/>
                <w:sz w:val="24"/>
              </w:rPr>
              <w:t>articolo 244, paragrafo 1, lettera</w:t>
            </w:r>
            <w:r w:rsidR="005424B9" w:rsidRPr="000D715C">
              <w:rPr>
                <w:rFonts w:ascii="Times New Roman" w:hAnsi="Times New Roman"/>
                <w:sz w:val="24"/>
              </w:rPr>
              <w:t> </w:t>
            </w:r>
            <w:r w:rsidRPr="000D715C">
              <w:rPr>
                <w:rFonts w:ascii="Times New Roman" w:hAnsi="Times New Roman"/>
                <w:sz w:val="24"/>
              </w:rPr>
              <w:t>b), e all</w:t>
            </w:r>
            <w:r w:rsidR="005424B9" w:rsidRPr="000D715C">
              <w:rPr>
                <w:rFonts w:ascii="Times New Roman" w:hAnsi="Times New Roman"/>
                <w:sz w:val="24"/>
              </w:rPr>
              <w:t>'</w:t>
            </w:r>
            <w:r w:rsidRPr="000D715C">
              <w:rPr>
                <w:rFonts w:ascii="Times New Roman" w:hAnsi="Times New Roman"/>
                <w:sz w:val="24"/>
              </w:rPr>
              <w:t>articolo 258 del CRR (importo negativo).</w:t>
            </w:r>
          </w:p>
        </w:tc>
      </w:tr>
      <w:tr w:rsidR="00C85971" w:rsidRPr="000D715C" w14:paraId="7CC14FB6" w14:textId="77777777" w:rsidTr="00D819DE">
        <w:tc>
          <w:tcPr>
            <w:tcW w:w="1172" w:type="dxa"/>
            <w:vAlign w:val="center"/>
          </w:tcPr>
          <w:p w14:paraId="2476A7F4"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lastRenderedPageBreak/>
              <w:t>EU-20d</w:t>
            </w:r>
          </w:p>
        </w:tc>
        <w:tc>
          <w:tcPr>
            <w:tcW w:w="7242" w:type="dxa"/>
            <w:vAlign w:val="center"/>
          </w:tcPr>
          <w:p w14:paraId="7715FCAD"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Di cui operazioni con regolamento non contestuale (importo negativo)</w:t>
            </w:r>
          </w:p>
          <w:p w14:paraId="218B6C2A" w14:textId="62B06B62"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Dell</w:t>
            </w:r>
            <w:r w:rsidR="005424B9" w:rsidRPr="000D715C">
              <w:rPr>
                <w:rFonts w:ascii="Times New Roman" w:hAnsi="Times New Roman"/>
                <w:sz w:val="24"/>
              </w:rPr>
              <w:t>'</w:t>
            </w:r>
            <w:r w:rsidRPr="000D715C">
              <w:rPr>
                <w:rFonts w:ascii="Times New Roman" w:hAnsi="Times New Roman"/>
                <w:sz w:val="24"/>
              </w:rPr>
              <w:t>importo nella riga EU-20a di questo modello, l</w:t>
            </w:r>
            <w:r w:rsidR="005424B9" w:rsidRPr="000D715C">
              <w:rPr>
                <w:rFonts w:ascii="Times New Roman" w:hAnsi="Times New Roman"/>
                <w:sz w:val="24"/>
              </w:rPr>
              <w:t>'</w:t>
            </w:r>
            <w:r w:rsidRPr="000D715C">
              <w:rPr>
                <w:rFonts w:ascii="Times New Roman" w:hAnsi="Times New Roman"/>
                <w:sz w:val="24"/>
              </w:rPr>
              <w:t>importo relativo alle operazioni con regolamento non contestuale, conformemente all</w:t>
            </w:r>
            <w:r w:rsidR="005424B9" w:rsidRPr="000D715C">
              <w:rPr>
                <w:rFonts w:ascii="Times New Roman" w:hAnsi="Times New Roman"/>
                <w:sz w:val="24"/>
              </w:rPr>
              <w:t>'</w:t>
            </w:r>
            <w:r w:rsidRPr="000D715C">
              <w:rPr>
                <w:rFonts w:ascii="Times New Roman" w:hAnsi="Times New Roman"/>
                <w:sz w:val="24"/>
              </w:rPr>
              <w:t>articolo 36, paragrafo 1, lettera</w:t>
            </w:r>
            <w:r w:rsidR="005424B9" w:rsidRPr="000D715C">
              <w:rPr>
                <w:rFonts w:ascii="Times New Roman" w:hAnsi="Times New Roman"/>
                <w:sz w:val="24"/>
              </w:rPr>
              <w:t> </w:t>
            </w:r>
            <w:r w:rsidRPr="000D715C">
              <w:rPr>
                <w:rFonts w:ascii="Times New Roman" w:hAnsi="Times New Roman"/>
                <w:sz w:val="24"/>
              </w:rPr>
              <w:t>k), punto</w:t>
            </w:r>
            <w:r w:rsidR="005424B9" w:rsidRPr="000D715C">
              <w:rPr>
                <w:rFonts w:ascii="Times New Roman" w:hAnsi="Times New Roman"/>
                <w:sz w:val="24"/>
              </w:rPr>
              <w:t> </w:t>
            </w:r>
            <w:r w:rsidRPr="000D715C">
              <w:rPr>
                <w:rFonts w:ascii="Times New Roman" w:hAnsi="Times New Roman"/>
                <w:sz w:val="24"/>
              </w:rPr>
              <w:t>iii), e all</w:t>
            </w:r>
            <w:r w:rsidR="005424B9" w:rsidRPr="000D715C">
              <w:rPr>
                <w:rFonts w:ascii="Times New Roman" w:hAnsi="Times New Roman"/>
                <w:sz w:val="24"/>
              </w:rPr>
              <w:t>'</w:t>
            </w:r>
            <w:r w:rsidRPr="000D715C">
              <w:rPr>
                <w:rFonts w:ascii="Times New Roman" w:hAnsi="Times New Roman"/>
                <w:sz w:val="24"/>
              </w:rPr>
              <w:t>articolo 379, paragrafo 3, del CRR (importo negativo).</w:t>
            </w:r>
          </w:p>
        </w:tc>
      </w:tr>
      <w:tr w:rsidR="00C85971" w:rsidRPr="000D715C" w14:paraId="2AAF4949" w14:textId="77777777" w:rsidTr="00D819DE">
        <w:tc>
          <w:tcPr>
            <w:tcW w:w="1172" w:type="dxa"/>
            <w:vAlign w:val="center"/>
          </w:tcPr>
          <w:p w14:paraId="1F1BEBC3"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21</w:t>
            </w:r>
          </w:p>
        </w:tc>
        <w:tc>
          <w:tcPr>
            <w:tcW w:w="7242" w:type="dxa"/>
            <w:vAlign w:val="center"/>
          </w:tcPr>
          <w:p w14:paraId="0D304806" w14:textId="1D532D91"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Attività fiscali differite che derivano da differenze temporanee (importo superiore alla soglia del 10 %, al netto delle relative passività fiscali per le quali sono soddisfatte le condizioni di cui all</w:t>
            </w:r>
            <w:r w:rsidR="005424B9" w:rsidRPr="000D715C">
              <w:rPr>
                <w:rFonts w:ascii="Times New Roman" w:hAnsi="Times New Roman"/>
                <w:sz w:val="24"/>
              </w:rPr>
              <w:t>'</w:t>
            </w:r>
            <w:r w:rsidRPr="000D715C">
              <w:rPr>
                <w:rFonts w:ascii="Times New Roman" w:hAnsi="Times New Roman"/>
                <w:sz w:val="24"/>
              </w:rPr>
              <w:t>articolo 38, paragrafo 3, del CRR) (importo negativo)</w:t>
            </w:r>
          </w:p>
          <w:p w14:paraId="1047B9CB" w14:textId="4C0127B0"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Attività fiscali differite che derivano da differenze temporanee (importo superiore alla soglia del 10 %, al netto delle relative passività fiscali per le quali sono soddisfatte le condizioni di cui all</w:t>
            </w:r>
            <w:r w:rsidR="005424B9" w:rsidRPr="000D715C">
              <w:rPr>
                <w:rFonts w:ascii="Times New Roman" w:hAnsi="Times New Roman"/>
                <w:sz w:val="24"/>
              </w:rPr>
              <w:t>'</w:t>
            </w:r>
            <w:r w:rsidRPr="000D715C">
              <w:rPr>
                <w:rFonts w:ascii="Times New Roman" w:hAnsi="Times New Roman"/>
                <w:sz w:val="24"/>
              </w:rPr>
              <w:t>articolo 38, paragrafo 3, del CRR), di cui all</w:t>
            </w:r>
            <w:r w:rsidR="005424B9" w:rsidRPr="000D715C">
              <w:rPr>
                <w:rFonts w:ascii="Times New Roman" w:hAnsi="Times New Roman"/>
                <w:sz w:val="24"/>
              </w:rPr>
              <w:t>'</w:t>
            </w:r>
            <w:r w:rsidRPr="000D715C">
              <w:rPr>
                <w:rFonts w:ascii="Times New Roman" w:hAnsi="Times New Roman"/>
                <w:sz w:val="24"/>
              </w:rPr>
              <w:t>articolo 36, paragrafo 1, lettera c), all</w:t>
            </w:r>
            <w:r w:rsidR="005424B9" w:rsidRPr="000D715C">
              <w:rPr>
                <w:rFonts w:ascii="Times New Roman" w:hAnsi="Times New Roman"/>
                <w:sz w:val="24"/>
              </w:rPr>
              <w:t>'</w:t>
            </w:r>
            <w:r w:rsidRPr="000D715C">
              <w:rPr>
                <w:rFonts w:ascii="Times New Roman" w:hAnsi="Times New Roman"/>
                <w:sz w:val="24"/>
              </w:rPr>
              <w:t>articolo 38 e all</w:t>
            </w:r>
            <w:r w:rsidR="005424B9" w:rsidRPr="000D715C">
              <w:rPr>
                <w:rFonts w:ascii="Times New Roman" w:hAnsi="Times New Roman"/>
                <w:sz w:val="24"/>
              </w:rPr>
              <w:t>'</w:t>
            </w:r>
            <w:r w:rsidRPr="000D715C">
              <w:rPr>
                <w:rFonts w:ascii="Times New Roman" w:hAnsi="Times New Roman"/>
                <w:sz w:val="24"/>
              </w:rPr>
              <w:t>articolo 48, paragrafo 1, lettera a), del CRR (importo negativo).</w:t>
            </w:r>
          </w:p>
        </w:tc>
      </w:tr>
      <w:tr w:rsidR="00C85971" w:rsidRPr="000D715C" w14:paraId="38402C5C" w14:textId="77777777" w:rsidTr="00D819DE">
        <w:tc>
          <w:tcPr>
            <w:tcW w:w="1172" w:type="dxa"/>
            <w:vAlign w:val="center"/>
          </w:tcPr>
          <w:p w14:paraId="219B3343"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22</w:t>
            </w:r>
          </w:p>
        </w:tc>
        <w:tc>
          <w:tcPr>
            <w:tcW w:w="7242" w:type="dxa"/>
            <w:vAlign w:val="center"/>
          </w:tcPr>
          <w:p w14:paraId="5A0A5E97"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Importo che supera la soglia del 17,65 % (importo negativo)</w:t>
            </w:r>
          </w:p>
          <w:p w14:paraId="5ADBAB1C" w14:textId="6AFA734F"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Importo che supera la soglia del 17,65 % conformemente all</w:t>
            </w:r>
            <w:r w:rsidR="005424B9" w:rsidRPr="000D715C">
              <w:rPr>
                <w:rFonts w:ascii="Times New Roman" w:hAnsi="Times New Roman"/>
                <w:sz w:val="24"/>
              </w:rPr>
              <w:t>'</w:t>
            </w:r>
            <w:r w:rsidRPr="000D715C">
              <w:rPr>
                <w:rFonts w:ascii="Times New Roman" w:hAnsi="Times New Roman"/>
                <w:sz w:val="24"/>
              </w:rPr>
              <w:t>articolo 48, paragrafo 1, del CRR (importo negativo).</w:t>
            </w:r>
          </w:p>
        </w:tc>
      </w:tr>
      <w:tr w:rsidR="00C85971" w:rsidRPr="000D715C" w14:paraId="7F34C5C9" w14:textId="77777777" w:rsidTr="00D819DE">
        <w:tc>
          <w:tcPr>
            <w:tcW w:w="1172" w:type="dxa"/>
            <w:vAlign w:val="center"/>
          </w:tcPr>
          <w:p w14:paraId="10F2A170"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23</w:t>
            </w:r>
          </w:p>
        </w:tc>
        <w:tc>
          <w:tcPr>
            <w:tcW w:w="7242" w:type="dxa"/>
            <w:vAlign w:val="center"/>
          </w:tcPr>
          <w:p w14:paraId="4727FB43" w14:textId="56D137C2"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Di cui strumenti di capitale CET1 di soggetti del settore finanziario detenuti dall</w:t>
            </w:r>
            <w:r w:rsidR="005424B9" w:rsidRPr="000D715C">
              <w:rPr>
                <w:rFonts w:ascii="Times New Roman" w:hAnsi="Times New Roman"/>
                <w:sz w:val="24"/>
              </w:rPr>
              <w:t>'</w:t>
            </w:r>
            <w:r w:rsidRPr="000D715C">
              <w:rPr>
                <w:rFonts w:ascii="Times New Roman" w:hAnsi="Times New Roman"/>
                <w:sz w:val="24"/>
              </w:rPr>
              <w:t>ente direttamente, indirettamente o sinteticamente, quando l</w:t>
            </w:r>
            <w:r w:rsidR="005424B9" w:rsidRPr="000D715C">
              <w:rPr>
                <w:rFonts w:ascii="Times New Roman" w:hAnsi="Times New Roman"/>
                <w:sz w:val="24"/>
              </w:rPr>
              <w:t>'</w:t>
            </w:r>
            <w:r w:rsidRPr="000D715C">
              <w:rPr>
                <w:rFonts w:ascii="Times New Roman" w:hAnsi="Times New Roman"/>
                <w:sz w:val="24"/>
              </w:rPr>
              <w:t>ente ha un investimento significativo in tali soggetti</w:t>
            </w:r>
          </w:p>
          <w:p w14:paraId="63DF0E4F" w14:textId="51029571"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Dell</w:t>
            </w:r>
            <w:r w:rsidR="005424B9" w:rsidRPr="000D715C">
              <w:rPr>
                <w:rFonts w:ascii="Times New Roman" w:hAnsi="Times New Roman"/>
                <w:sz w:val="24"/>
              </w:rPr>
              <w:t>'</w:t>
            </w:r>
            <w:r w:rsidRPr="000D715C">
              <w:rPr>
                <w:rFonts w:ascii="Times New Roman" w:hAnsi="Times New Roman"/>
                <w:sz w:val="24"/>
              </w:rPr>
              <w:t>importo indicato nella riga 22 di questo modello, l</w:t>
            </w:r>
            <w:r w:rsidR="005424B9" w:rsidRPr="000D715C">
              <w:rPr>
                <w:rFonts w:ascii="Times New Roman" w:hAnsi="Times New Roman"/>
                <w:sz w:val="24"/>
              </w:rPr>
              <w:t>'</w:t>
            </w:r>
            <w:r w:rsidRPr="000D715C">
              <w:rPr>
                <w:rFonts w:ascii="Times New Roman" w:hAnsi="Times New Roman"/>
                <w:sz w:val="24"/>
              </w:rPr>
              <w:t>importo degli strumenti di capitale CET1 di soggetti del settore finanziario detenuti dall</w:t>
            </w:r>
            <w:r w:rsidR="005424B9" w:rsidRPr="000D715C">
              <w:rPr>
                <w:rFonts w:ascii="Times New Roman" w:hAnsi="Times New Roman"/>
                <w:sz w:val="24"/>
              </w:rPr>
              <w:t>'</w:t>
            </w:r>
            <w:r w:rsidRPr="000D715C">
              <w:rPr>
                <w:rFonts w:ascii="Times New Roman" w:hAnsi="Times New Roman"/>
                <w:sz w:val="24"/>
              </w:rPr>
              <w:t>ente direttamente, indirettamente o sinteticamente, quando l</w:t>
            </w:r>
            <w:r w:rsidR="005424B9" w:rsidRPr="000D715C">
              <w:rPr>
                <w:rFonts w:ascii="Times New Roman" w:hAnsi="Times New Roman"/>
                <w:sz w:val="24"/>
              </w:rPr>
              <w:t>'</w:t>
            </w:r>
            <w:r w:rsidRPr="000D715C">
              <w:rPr>
                <w:rFonts w:ascii="Times New Roman" w:hAnsi="Times New Roman"/>
                <w:sz w:val="24"/>
              </w:rPr>
              <w:t>ente ha un investimento significativo in tali soggetti, di cui all</w:t>
            </w:r>
            <w:r w:rsidR="005424B9" w:rsidRPr="000D715C">
              <w:rPr>
                <w:rFonts w:ascii="Times New Roman" w:hAnsi="Times New Roman"/>
                <w:sz w:val="24"/>
              </w:rPr>
              <w:t>'</w:t>
            </w:r>
            <w:r w:rsidRPr="000D715C">
              <w:rPr>
                <w:rFonts w:ascii="Times New Roman" w:hAnsi="Times New Roman"/>
                <w:sz w:val="24"/>
              </w:rPr>
              <w:t>articolo 36, paragrafo 1, lettera i) e all</w:t>
            </w:r>
            <w:r w:rsidR="005424B9" w:rsidRPr="000D715C">
              <w:rPr>
                <w:rFonts w:ascii="Times New Roman" w:hAnsi="Times New Roman"/>
                <w:sz w:val="24"/>
              </w:rPr>
              <w:t>'</w:t>
            </w:r>
            <w:r w:rsidRPr="000D715C">
              <w:rPr>
                <w:rFonts w:ascii="Times New Roman" w:hAnsi="Times New Roman"/>
                <w:sz w:val="24"/>
              </w:rPr>
              <w:t>articolo 48, paragrafo 1, lettera b), del CRR.</w:t>
            </w:r>
          </w:p>
        </w:tc>
      </w:tr>
      <w:tr w:rsidR="00C85971" w:rsidRPr="000D715C" w14:paraId="0813CA46" w14:textId="77777777" w:rsidTr="00D819DE">
        <w:tc>
          <w:tcPr>
            <w:tcW w:w="1172" w:type="dxa"/>
            <w:vAlign w:val="center"/>
          </w:tcPr>
          <w:p w14:paraId="2694AF1A"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24</w:t>
            </w:r>
          </w:p>
        </w:tc>
        <w:tc>
          <w:tcPr>
            <w:tcW w:w="7242" w:type="dxa"/>
            <w:vAlign w:val="center"/>
          </w:tcPr>
          <w:p w14:paraId="310E2E52"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Non applicabile</w:t>
            </w:r>
          </w:p>
        </w:tc>
      </w:tr>
      <w:tr w:rsidR="00C85971" w:rsidRPr="000D715C" w14:paraId="02EC4B80" w14:textId="77777777" w:rsidTr="00D819DE">
        <w:tc>
          <w:tcPr>
            <w:tcW w:w="1172" w:type="dxa"/>
            <w:vAlign w:val="center"/>
          </w:tcPr>
          <w:p w14:paraId="7A4381AB"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25</w:t>
            </w:r>
          </w:p>
        </w:tc>
        <w:tc>
          <w:tcPr>
            <w:tcW w:w="7242" w:type="dxa"/>
            <w:vAlign w:val="center"/>
          </w:tcPr>
          <w:p w14:paraId="0AD27DB4"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Di cui attività fiscali differite che derivano da differenze temporanee</w:t>
            </w:r>
          </w:p>
          <w:p w14:paraId="482D0A2D" w14:textId="25A5ACAA" w:rsidR="00C85971" w:rsidRPr="000D715C" w:rsidRDefault="00C85971" w:rsidP="00D819DE">
            <w:pPr>
              <w:spacing w:after="200"/>
              <w:jc w:val="both"/>
              <w:rPr>
                <w:rFonts w:ascii="Times New Roman" w:hAnsi="Times New Roman" w:cs="Times New Roman"/>
                <w:spacing w:val="-4"/>
                <w:sz w:val="24"/>
              </w:rPr>
            </w:pPr>
            <w:r w:rsidRPr="000D715C">
              <w:rPr>
                <w:rFonts w:ascii="Times New Roman" w:hAnsi="Times New Roman"/>
                <w:spacing w:val="-4"/>
                <w:sz w:val="24"/>
              </w:rPr>
              <w:t>Dell</w:t>
            </w:r>
            <w:r w:rsidR="005424B9" w:rsidRPr="000D715C">
              <w:rPr>
                <w:rFonts w:ascii="Times New Roman" w:hAnsi="Times New Roman"/>
                <w:spacing w:val="-4"/>
                <w:sz w:val="24"/>
              </w:rPr>
              <w:t>'</w:t>
            </w:r>
            <w:r w:rsidRPr="000D715C">
              <w:rPr>
                <w:rFonts w:ascii="Times New Roman" w:hAnsi="Times New Roman"/>
                <w:spacing w:val="-4"/>
                <w:sz w:val="24"/>
              </w:rPr>
              <w:t>importo della riga 22 di questo modello, l</w:t>
            </w:r>
            <w:r w:rsidR="005424B9" w:rsidRPr="000D715C">
              <w:rPr>
                <w:rFonts w:ascii="Times New Roman" w:hAnsi="Times New Roman"/>
                <w:spacing w:val="-4"/>
                <w:sz w:val="24"/>
              </w:rPr>
              <w:t>'</w:t>
            </w:r>
            <w:r w:rsidRPr="000D715C">
              <w:rPr>
                <w:rFonts w:ascii="Times New Roman" w:hAnsi="Times New Roman"/>
                <w:spacing w:val="-4"/>
                <w:sz w:val="24"/>
              </w:rPr>
              <w:t>importo delle attività fiscali differite che derivano da differenze temporanee, di cui all</w:t>
            </w:r>
            <w:r w:rsidR="005424B9" w:rsidRPr="000D715C">
              <w:rPr>
                <w:rFonts w:ascii="Times New Roman" w:hAnsi="Times New Roman"/>
                <w:spacing w:val="-4"/>
                <w:sz w:val="24"/>
              </w:rPr>
              <w:t>'</w:t>
            </w:r>
            <w:r w:rsidRPr="000D715C">
              <w:rPr>
                <w:rFonts w:ascii="Times New Roman" w:hAnsi="Times New Roman"/>
                <w:spacing w:val="-4"/>
                <w:sz w:val="24"/>
              </w:rPr>
              <w:t>articolo 36, paragrafo</w:t>
            </w:r>
            <w:r w:rsidR="005424B9" w:rsidRPr="000D715C">
              <w:rPr>
                <w:rFonts w:ascii="Times New Roman" w:hAnsi="Times New Roman"/>
                <w:spacing w:val="-4"/>
                <w:sz w:val="24"/>
              </w:rPr>
              <w:t> </w:t>
            </w:r>
            <w:r w:rsidRPr="000D715C">
              <w:rPr>
                <w:rFonts w:ascii="Times New Roman" w:hAnsi="Times New Roman"/>
                <w:spacing w:val="-4"/>
                <w:sz w:val="24"/>
              </w:rPr>
              <w:t>1, lettera</w:t>
            </w:r>
            <w:r w:rsidR="005424B9" w:rsidRPr="000D715C">
              <w:rPr>
                <w:rFonts w:ascii="Times New Roman" w:hAnsi="Times New Roman"/>
                <w:spacing w:val="-4"/>
                <w:sz w:val="24"/>
              </w:rPr>
              <w:t> </w:t>
            </w:r>
            <w:r w:rsidRPr="000D715C">
              <w:rPr>
                <w:rFonts w:ascii="Times New Roman" w:hAnsi="Times New Roman"/>
                <w:spacing w:val="-4"/>
                <w:sz w:val="24"/>
              </w:rPr>
              <w:t>c), all</w:t>
            </w:r>
            <w:r w:rsidR="005424B9" w:rsidRPr="000D715C">
              <w:rPr>
                <w:rFonts w:ascii="Times New Roman" w:hAnsi="Times New Roman"/>
                <w:spacing w:val="-4"/>
                <w:sz w:val="24"/>
              </w:rPr>
              <w:t>'</w:t>
            </w:r>
            <w:r w:rsidRPr="000D715C">
              <w:rPr>
                <w:rFonts w:ascii="Times New Roman" w:hAnsi="Times New Roman"/>
                <w:spacing w:val="-4"/>
                <w:sz w:val="24"/>
              </w:rPr>
              <w:t>articolo 38 e all</w:t>
            </w:r>
            <w:r w:rsidR="005424B9" w:rsidRPr="000D715C">
              <w:rPr>
                <w:rFonts w:ascii="Times New Roman" w:hAnsi="Times New Roman"/>
                <w:spacing w:val="-4"/>
                <w:sz w:val="24"/>
              </w:rPr>
              <w:t>'</w:t>
            </w:r>
            <w:r w:rsidRPr="000D715C">
              <w:rPr>
                <w:rFonts w:ascii="Times New Roman" w:hAnsi="Times New Roman"/>
                <w:spacing w:val="-4"/>
                <w:sz w:val="24"/>
              </w:rPr>
              <w:t>articolo</w:t>
            </w:r>
            <w:r w:rsidR="005424B9" w:rsidRPr="000D715C">
              <w:rPr>
                <w:rFonts w:ascii="Times New Roman" w:hAnsi="Times New Roman"/>
                <w:spacing w:val="-4"/>
                <w:sz w:val="24"/>
              </w:rPr>
              <w:t> </w:t>
            </w:r>
            <w:r w:rsidRPr="000D715C">
              <w:rPr>
                <w:rFonts w:ascii="Times New Roman" w:hAnsi="Times New Roman"/>
                <w:spacing w:val="-4"/>
                <w:sz w:val="24"/>
              </w:rPr>
              <w:t>48, paragrafo</w:t>
            </w:r>
            <w:r w:rsidR="005424B9" w:rsidRPr="000D715C">
              <w:rPr>
                <w:rFonts w:ascii="Times New Roman" w:hAnsi="Times New Roman"/>
                <w:spacing w:val="-4"/>
                <w:sz w:val="24"/>
              </w:rPr>
              <w:t> </w:t>
            </w:r>
            <w:r w:rsidRPr="000D715C">
              <w:rPr>
                <w:rFonts w:ascii="Times New Roman" w:hAnsi="Times New Roman"/>
                <w:spacing w:val="-4"/>
                <w:sz w:val="24"/>
              </w:rPr>
              <w:t>1, lettera</w:t>
            </w:r>
            <w:r w:rsidR="005424B9" w:rsidRPr="000D715C">
              <w:rPr>
                <w:rFonts w:ascii="Times New Roman" w:hAnsi="Times New Roman"/>
                <w:spacing w:val="-4"/>
                <w:sz w:val="24"/>
              </w:rPr>
              <w:t> </w:t>
            </w:r>
            <w:r w:rsidRPr="000D715C">
              <w:rPr>
                <w:rFonts w:ascii="Times New Roman" w:hAnsi="Times New Roman"/>
                <w:spacing w:val="-4"/>
                <w:sz w:val="24"/>
              </w:rPr>
              <w:t>a), del CRR.</w:t>
            </w:r>
          </w:p>
        </w:tc>
      </w:tr>
      <w:tr w:rsidR="00C85971" w:rsidRPr="000D715C" w14:paraId="6B2DEE6B" w14:textId="77777777" w:rsidTr="00D819DE">
        <w:tc>
          <w:tcPr>
            <w:tcW w:w="1172" w:type="dxa"/>
            <w:vAlign w:val="center"/>
          </w:tcPr>
          <w:p w14:paraId="3E19173C"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EU-25a</w:t>
            </w:r>
          </w:p>
        </w:tc>
        <w:tc>
          <w:tcPr>
            <w:tcW w:w="7242" w:type="dxa"/>
            <w:vAlign w:val="center"/>
          </w:tcPr>
          <w:p w14:paraId="639D394E" w14:textId="5A1EC183"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Perdite relative all</w:t>
            </w:r>
            <w:r w:rsidR="005424B9" w:rsidRPr="000D715C">
              <w:rPr>
                <w:rFonts w:ascii="Times New Roman" w:hAnsi="Times New Roman"/>
                <w:sz w:val="24"/>
              </w:rPr>
              <w:t>'</w:t>
            </w:r>
            <w:r w:rsidRPr="000D715C">
              <w:rPr>
                <w:rFonts w:ascii="Times New Roman" w:hAnsi="Times New Roman"/>
                <w:sz w:val="24"/>
              </w:rPr>
              <w:t>esercizio in corso (importo negativo)</w:t>
            </w:r>
          </w:p>
          <w:p w14:paraId="21AC5462" w14:textId="1604AAB1"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Perdite relative all</w:t>
            </w:r>
            <w:r w:rsidR="005424B9" w:rsidRPr="000D715C">
              <w:rPr>
                <w:rFonts w:ascii="Times New Roman" w:hAnsi="Times New Roman"/>
                <w:sz w:val="24"/>
              </w:rPr>
              <w:t>'</w:t>
            </w:r>
            <w:r w:rsidRPr="000D715C">
              <w:rPr>
                <w:rFonts w:ascii="Times New Roman" w:hAnsi="Times New Roman"/>
                <w:sz w:val="24"/>
              </w:rPr>
              <w:t>esercizio in corso, conformemente all</w:t>
            </w:r>
            <w:r w:rsidR="005424B9" w:rsidRPr="000D715C">
              <w:rPr>
                <w:rFonts w:ascii="Times New Roman" w:hAnsi="Times New Roman"/>
                <w:sz w:val="24"/>
              </w:rPr>
              <w:t>'</w:t>
            </w:r>
            <w:r w:rsidRPr="000D715C">
              <w:rPr>
                <w:rFonts w:ascii="Times New Roman" w:hAnsi="Times New Roman"/>
                <w:sz w:val="24"/>
              </w:rPr>
              <w:t>articolo 36, paragrafo 1, lettera a), del CRR (importo negativo).</w:t>
            </w:r>
          </w:p>
        </w:tc>
      </w:tr>
      <w:tr w:rsidR="00C85971" w:rsidRPr="000D715C" w14:paraId="6ED9742F" w14:textId="77777777" w:rsidTr="00D819DE">
        <w:tc>
          <w:tcPr>
            <w:tcW w:w="1172" w:type="dxa"/>
            <w:vAlign w:val="center"/>
          </w:tcPr>
          <w:p w14:paraId="5C206F43"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EU-25b</w:t>
            </w:r>
          </w:p>
        </w:tc>
        <w:tc>
          <w:tcPr>
            <w:tcW w:w="7242" w:type="dxa"/>
            <w:vAlign w:val="center"/>
          </w:tcPr>
          <w:p w14:paraId="635948DC" w14:textId="7439A406"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Tributi prevedibili relativi agli elementi del capitale CET1, ad eccezione dei casi in cui l</w:t>
            </w:r>
            <w:r w:rsidR="005424B9" w:rsidRPr="000D715C">
              <w:rPr>
                <w:rFonts w:ascii="Times New Roman" w:hAnsi="Times New Roman"/>
                <w:sz w:val="24"/>
              </w:rPr>
              <w:t>'</w:t>
            </w:r>
            <w:r w:rsidRPr="000D715C">
              <w:rPr>
                <w:rFonts w:ascii="Times New Roman" w:hAnsi="Times New Roman"/>
                <w:sz w:val="24"/>
              </w:rPr>
              <w:t>ente adatta di conseguenza l</w:t>
            </w:r>
            <w:r w:rsidR="005424B9" w:rsidRPr="000D715C">
              <w:rPr>
                <w:rFonts w:ascii="Times New Roman" w:hAnsi="Times New Roman"/>
                <w:sz w:val="24"/>
              </w:rPr>
              <w:t>'</w:t>
            </w:r>
            <w:r w:rsidRPr="000D715C">
              <w:rPr>
                <w:rFonts w:ascii="Times New Roman" w:hAnsi="Times New Roman"/>
                <w:sz w:val="24"/>
              </w:rPr>
              <w:t>importo degli elementi del capitale CET1 nella misura in cui tali tributi riducano l</w:t>
            </w:r>
            <w:r w:rsidR="005424B9" w:rsidRPr="000D715C">
              <w:rPr>
                <w:rFonts w:ascii="Times New Roman" w:hAnsi="Times New Roman"/>
                <w:sz w:val="24"/>
              </w:rPr>
              <w:t>'</w:t>
            </w:r>
            <w:r w:rsidRPr="000D715C">
              <w:rPr>
                <w:rFonts w:ascii="Times New Roman" w:hAnsi="Times New Roman"/>
                <w:sz w:val="24"/>
              </w:rPr>
              <w:t>importo fino a concorrenza del quale questi elementi possono essere destinati alla copertura di rischi o perdite (importo negativo)</w:t>
            </w:r>
          </w:p>
          <w:p w14:paraId="734D12DC" w14:textId="5EFAD224" w:rsidR="00C85971" w:rsidRPr="000D715C" w:rsidRDefault="00C85971" w:rsidP="00D819DE">
            <w:pPr>
              <w:spacing w:after="200"/>
              <w:jc w:val="both"/>
              <w:rPr>
                <w:rFonts w:ascii="Times New Roman" w:hAnsi="Times New Roman" w:cs="Times New Roman"/>
                <w:spacing w:val="-4"/>
                <w:sz w:val="24"/>
              </w:rPr>
            </w:pPr>
            <w:r w:rsidRPr="000D715C">
              <w:rPr>
                <w:rFonts w:ascii="Times New Roman" w:hAnsi="Times New Roman"/>
                <w:spacing w:val="-4"/>
                <w:sz w:val="24"/>
              </w:rPr>
              <w:lastRenderedPageBreak/>
              <w:t>Importi di tributi prevedibili relativi agli elementi del capitale CET1 prevedibili al momento del calcolo, ad eccezione dei casi in cui l</w:t>
            </w:r>
            <w:r w:rsidR="005424B9" w:rsidRPr="000D715C">
              <w:rPr>
                <w:rFonts w:ascii="Times New Roman" w:hAnsi="Times New Roman"/>
                <w:spacing w:val="-4"/>
                <w:sz w:val="24"/>
              </w:rPr>
              <w:t>'</w:t>
            </w:r>
            <w:r w:rsidRPr="000D715C">
              <w:rPr>
                <w:rFonts w:ascii="Times New Roman" w:hAnsi="Times New Roman"/>
                <w:spacing w:val="-4"/>
                <w:sz w:val="24"/>
              </w:rPr>
              <w:t>ente adatta di conseguenza l</w:t>
            </w:r>
            <w:r w:rsidR="005424B9" w:rsidRPr="000D715C">
              <w:rPr>
                <w:rFonts w:ascii="Times New Roman" w:hAnsi="Times New Roman"/>
                <w:spacing w:val="-4"/>
                <w:sz w:val="24"/>
              </w:rPr>
              <w:t>'</w:t>
            </w:r>
            <w:r w:rsidRPr="000D715C">
              <w:rPr>
                <w:rFonts w:ascii="Times New Roman" w:hAnsi="Times New Roman"/>
                <w:spacing w:val="-4"/>
                <w:sz w:val="24"/>
              </w:rPr>
              <w:t>importo degli elementi del capitale CET1, nella misura in cui tali tributi riducano l</w:t>
            </w:r>
            <w:r w:rsidR="005424B9" w:rsidRPr="000D715C">
              <w:rPr>
                <w:rFonts w:ascii="Times New Roman" w:hAnsi="Times New Roman"/>
                <w:spacing w:val="-4"/>
                <w:sz w:val="24"/>
              </w:rPr>
              <w:t>'</w:t>
            </w:r>
            <w:r w:rsidRPr="000D715C">
              <w:rPr>
                <w:rFonts w:ascii="Times New Roman" w:hAnsi="Times New Roman"/>
                <w:spacing w:val="-4"/>
                <w:sz w:val="24"/>
              </w:rPr>
              <w:t>importo fino a concorrenza del quale questi elementi possono essere destinati alla copertura di rischi o perdite, conformemente all</w:t>
            </w:r>
            <w:r w:rsidR="005424B9" w:rsidRPr="000D715C">
              <w:rPr>
                <w:rFonts w:ascii="Times New Roman" w:hAnsi="Times New Roman"/>
                <w:spacing w:val="-4"/>
                <w:sz w:val="24"/>
              </w:rPr>
              <w:t>'</w:t>
            </w:r>
            <w:r w:rsidRPr="000D715C">
              <w:rPr>
                <w:rFonts w:ascii="Times New Roman" w:hAnsi="Times New Roman"/>
                <w:spacing w:val="-4"/>
                <w:sz w:val="24"/>
              </w:rPr>
              <w:t>articolo 36, paragrafo 1, lettera l), del CRR (importo negativo).</w:t>
            </w:r>
          </w:p>
        </w:tc>
      </w:tr>
      <w:tr w:rsidR="00C85971" w:rsidRPr="000D715C" w14:paraId="374CCA46" w14:textId="77777777" w:rsidTr="00D819DE">
        <w:tc>
          <w:tcPr>
            <w:tcW w:w="1172" w:type="dxa"/>
            <w:vAlign w:val="center"/>
          </w:tcPr>
          <w:p w14:paraId="274B2F6E"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lastRenderedPageBreak/>
              <w:t>26</w:t>
            </w:r>
          </w:p>
        </w:tc>
        <w:tc>
          <w:tcPr>
            <w:tcW w:w="7242" w:type="dxa"/>
            <w:vAlign w:val="center"/>
          </w:tcPr>
          <w:p w14:paraId="0A674849"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Non applicabile</w:t>
            </w:r>
          </w:p>
        </w:tc>
      </w:tr>
      <w:tr w:rsidR="00C85971" w:rsidRPr="000D715C" w14:paraId="7B071964" w14:textId="77777777" w:rsidTr="00D819DE">
        <w:tc>
          <w:tcPr>
            <w:tcW w:w="1172" w:type="dxa"/>
            <w:vAlign w:val="center"/>
          </w:tcPr>
          <w:p w14:paraId="17F8AA49"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27</w:t>
            </w:r>
          </w:p>
        </w:tc>
        <w:tc>
          <w:tcPr>
            <w:tcW w:w="7242" w:type="dxa"/>
            <w:vAlign w:val="center"/>
          </w:tcPr>
          <w:p w14:paraId="39A9779B" w14:textId="1667753E"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Deduzioni ammissibili dal capitale AT1 che superano gli elementi del capitale AT1 dell</w:t>
            </w:r>
            <w:r w:rsidR="005424B9" w:rsidRPr="000D715C">
              <w:rPr>
                <w:rFonts w:ascii="Times New Roman" w:hAnsi="Times New Roman"/>
                <w:sz w:val="24"/>
              </w:rPr>
              <w:t>'</w:t>
            </w:r>
            <w:r w:rsidRPr="000D715C">
              <w:rPr>
                <w:rFonts w:ascii="Times New Roman" w:hAnsi="Times New Roman"/>
                <w:sz w:val="24"/>
              </w:rPr>
              <w:t>ente (importo negativo)</w:t>
            </w:r>
          </w:p>
          <w:p w14:paraId="355E3AEB" w14:textId="78BBDBC8"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Deduzioni ammissibili dal capitale AT1 che superano gli elementi del capitale AT1, di cui all</w:t>
            </w:r>
            <w:r w:rsidR="005424B9" w:rsidRPr="000D715C">
              <w:rPr>
                <w:rFonts w:ascii="Times New Roman" w:hAnsi="Times New Roman"/>
                <w:sz w:val="24"/>
              </w:rPr>
              <w:t>'</w:t>
            </w:r>
            <w:r w:rsidRPr="000D715C">
              <w:rPr>
                <w:rFonts w:ascii="Times New Roman" w:hAnsi="Times New Roman"/>
                <w:sz w:val="24"/>
              </w:rPr>
              <w:t>articolo 36, paragrafo 1, lettera</w:t>
            </w:r>
            <w:r w:rsidR="005424B9" w:rsidRPr="000D715C">
              <w:rPr>
                <w:rFonts w:ascii="Times New Roman" w:hAnsi="Times New Roman"/>
                <w:sz w:val="24"/>
              </w:rPr>
              <w:t> </w:t>
            </w:r>
            <w:r w:rsidRPr="000D715C">
              <w:rPr>
                <w:rFonts w:ascii="Times New Roman" w:hAnsi="Times New Roman"/>
                <w:sz w:val="24"/>
              </w:rPr>
              <w:t>j), del CRR (importo negativo).</w:t>
            </w:r>
          </w:p>
        </w:tc>
      </w:tr>
      <w:tr w:rsidR="00C85971" w:rsidRPr="000D715C" w14:paraId="0C0AFC57" w14:textId="77777777" w:rsidTr="00D819DE">
        <w:tc>
          <w:tcPr>
            <w:tcW w:w="1172" w:type="dxa"/>
            <w:vAlign w:val="center"/>
          </w:tcPr>
          <w:p w14:paraId="5A66113B"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EU-27a</w:t>
            </w:r>
          </w:p>
        </w:tc>
        <w:tc>
          <w:tcPr>
            <w:tcW w:w="7242" w:type="dxa"/>
            <w:vAlign w:val="center"/>
          </w:tcPr>
          <w:p w14:paraId="18AFE0AC"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Altre rettifiche regolamentari</w:t>
            </w:r>
          </w:p>
          <w:p w14:paraId="2E4AF0F7" w14:textId="2F0046F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Gli enti indicano in questa riga le rettifiche regolamentari applicabili, segnalate nell</w:t>
            </w:r>
            <w:r w:rsidR="005424B9" w:rsidRPr="000D715C">
              <w:rPr>
                <w:rFonts w:ascii="Times New Roman" w:hAnsi="Times New Roman"/>
                <w:sz w:val="24"/>
              </w:rPr>
              <w:t>'</w:t>
            </w:r>
            <w:r w:rsidRPr="000D715C">
              <w:rPr>
                <w:rFonts w:ascii="Times New Roman" w:hAnsi="Times New Roman"/>
                <w:sz w:val="24"/>
              </w:rPr>
              <w:t>ambito delle segnalazioni a fini di vigilanza e non incluse in altre righe di questo modello, compreso l</w:t>
            </w:r>
            <w:r w:rsidR="005424B9" w:rsidRPr="000D715C">
              <w:rPr>
                <w:rFonts w:ascii="Times New Roman" w:hAnsi="Times New Roman"/>
                <w:sz w:val="24"/>
              </w:rPr>
              <w:t>'</w:t>
            </w:r>
            <w:r w:rsidRPr="000D715C">
              <w:rPr>
                <w:rFonts w:ascii="Times New Roman" w:hAnsi="Times New Roman"/>
                <w:sz w:val="24"/>
              </w:rPr>
              <w:t>importo delle disposizioni transitorie dell</w:t>
            </w:r>
            <w:r w:rsidR="005424B9" w:rsidRPr="000D715C">
              <w:rPr>
                <w:rFonts w:ascii="Times New Roman" w:hAnsi="Times New Roman"/>
                <w:sz w:val="24"/>
              </w:rPr>
              <w:t>'</w:t>
            </w:r>
            <w:r w:rsidRPr="000D715C">
              <w:rPr>
                <w:rFonts w:ascii="Times New Roman" w:hAnsi="Times New Roman"/>
                <w:sz w:val="24"/>
              </w:rPr>
              <w:t>IFRS</w:t>
            </w:r>
            <w:r w:rsidR="000D715C" w:rsidRPr="000D715C">
              <w:rPr>
                <w:rFonts w:ascii="Times New Roman" w:hAnsi="Times New Roman"/>
                <w:sz w:val="24"/>
              </w:rPr>
              <w:t> </w:t>
            </w:r>
            <w:r w:rsidRPr="000D715C">
              <w:rPr>
                <w:rFonts w:ascii="Times New Roman" w:hAnsi="Times New Roman"/>
                <w:sz w:val="24"/>
              </w:rPr>
              <w:t>9, ove pertinente e fino alla fine del periodo transitorio.</w:t>
            </w:r>
          </w:p>
        </w:tc>
      </w:tr>
      <w:tr w:rsidR="00C85971" w:rsidRPr="000D715C" w14:paraId="1E8EA207" w14:textId="77777777" w:rsidTr="00D819DE">
        <w:tc>
          <w:tcPr>
            <w:tcW w:w="1172" w:type="dxa"/>
            <w:vAlign w:val="center"/>
          </w:tcPr>
          <w:p w14:paraId="1C7F4975"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28</w:t>
            </w:r>
          </w:p>
        </w:tc>
        <w:tc>
          <w:tcPr>
            <w:tcW w:w="7242" w:type="dxa"/>
            <w:vAlign w:val="center"/>
          </w:tcPr>
          <w:p w14:paraId="5A31DBA7"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Totale delle rettifiche regolamentari del capitale primario di classe 1 (CET1)</w:t>
            </w:r>
          </w:p>
          <w:p w14:paraId="45C480D1"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Da calcolare come somma degli importi nelle righe da 7 a EU-20a, 21, 22 e da EU-25a a EU-27a di questo modello.</w:t>
            </w:r>
          </w:p>
        </w:tc>
      </w:tr>
      <w:tr w:rsidR="00C85971" w:rsidRPr="000D715C" w14:paraId="56BD07BE" w14:textId="77777777" w:rsidTr="00D819DE">
        <w:tc>
          <w:tcPr>
            <w:tcW w:w="1172" w:type="dxa"/>
            <w:vAlign w:val="center"/>
          </w:tcPr>
          <w:p w14:paraId="60EAA0B0"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29</w:t>
            </w:r>
          </w:p>
        </w:tc>
        <w:tc>
          <w:tcPr>
            <w:tcW w:w="7242" w:type="dxa"/>
            <w:vAlign w:val="center"/>
          </w:tcPr>
          <w:p w14:paraId="242357FB"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Capitale primario di classe 1 (CET1)</w:t>
            </w:r>
          </w:p>
          <w:p w14:paraId="7AF2FC11" w14:textId="77777777" w:rsidR="00C85971" w:rsidRPr="000D715C" w:rsidRDefault="00C85971" w:rsidP="00D819DE">
            <w:pPr>
              <w:spacing w:after="200"/>
              <w:jc w:val="both"/>
              <w:rPr>
                <w:rFonts w:ascii="Times New Roman" w:hAnsi="Times New Roman"/>
                <w:sz w:val="24"/>
              </w:rPr>
            </w:pPr>
            <w:r w:rsidRPr="000D715C">
              <w:rPr>
                <w:rFonts w:ascii="Times New Roman" w:hAnsi="Times New Roman"/>
                <w:sz w:val="24"/>
              </w:rPr>
              <w:t>Da calcolare come la riga 6 meno la riga 28 di questo modello.</w:t>
            </w:r>
          </w:p>
        </w:tc>
      </w:tr>
      <w:tr w:rsidR="00C85971" w:rsidRPr="000D715C" w14:paraId="1DF5C941" w14:textId="77777777" w:rsidTr="00D819DE">
        <w:tc>
          <w:tcPr>
            <w:tcW w:w="1172" w:type="dxa"/>
            <w:vAlign w:val="center"/>
          </w:tcPr>
          <w:p w14:paraId="2CDEEFB2"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30</w:t>
            </w:r>
          </w:p>
        </w:tc>
        <w:tc>
          <w:tcPr>
            <w:tcW w:w="7242" w:type="dxa"/>
            <w:vAlign w:val="center"/>
          </w:tcPr>
          <w:p w14:paraId="7F9E5A2D"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Strumenti di capitale e le relative riserve sovrapprezzo azioni</w:t>
            </w:r>
          </w:p>
          <w:p w14:paraId="78F65A5E"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Strumenti di capitale e le relative riserve sovrapprezzo azioni, conformemente agli articoli 51 e 52 del CRR.</w:t>
            </w:r>
          </w:p>
        </w:tc>
      </w:tr>
      <w:tr w:rsidR="00C85971" w:rsidRPr="000D715C" w14:paraId="74B53E8B" w14:textId="77777777" w:rsidTr="00D819DE">
        <w:tc>
          <w:tcPr>
            <w:tcW w:w="1172" w:type="dxa"/>
            <w:vAlign w:val="center"/>
          </w:tcPr>
          <w:p w14:paraId="793674E3"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31</w:t>
            </w:r>
          </w:p>
        </w:tc>
        <w:tc>
          <w:tcPr>
            <w:tcW w:w="7242" w:type="dxa"/>
            <w:vAlign w:val="center"/>
          </w:tcPr>
          <w:p w14:paraId="392F2419"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Di cui classificati come patrimonio netto a norma dei principi contabili applicabili</w:t>
            </w:r>
          </w:p>
          <w:p w14:paraId="6088A1D4" w14:textId="7F1CC9B4"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L</w:t>
            </w:r>
            <w:r w:rsidR="005424B9" w:rsidRPr="000D715C">
              <w:rPr>
                <w:rFonts w:ascii="Times New Roman" w:hAnsi="Times New Roman"/>
                <w:sz w:val="24"/>
              </w:rPr>
              <w:t>'</w:t>
            </w:r>
            <w:r w:rsidRPr="000D715C">
              <w:rPr>
                <w:rFonts w:ascii="Times New Roman" w:hAnsi="Times New Roman"/>
                <w:sz w:val="24"/>
              </w:rPr>
              <w:t>importo nella riga 30 di questo modello classificato come patrimonio netto a norma dei principi contabili applicabili.</w:t>
            </w:r>
          </w:p>
        </w:tc>
      </w:tr>
      <w:tr w:rsidR="00C85971" w:rsidRPr="000D715C" w14:paraId="2271173B" w14:textId="77777777" w:rsidTr="00D819DE">
        <w:tc>
          <w:tcPr>
            <w:tcW w:w="1172" w:type="dxa"/>
            <w:vAlign w:val="center"/>
          </w:tcPr>
          <w:p w14:paraId="682D565A"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32</w:t>
            </w:r>
          </w:p>
        </w:tc>
        <w:tc>
          <w:tcPr>
            <w:tcW w:w="7242" w:type="dxa"/>
            <w:vAlign w:val="center"/>
          </w:tcPr>
          <w:p w14:paraId="2E569E47"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Di cui classificati come passività a norma dei principi contabili applicabili</w:t>
            </w:r>
          </w:p>
          <w:p w14:paraId="4C02CCA1" w14:textId="6DC311C6"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L</w:t>
            </w:r>
            <w:r w:rsidR="005424B9" w:rsidRPr="000D715C">
              <w:rPr>
                <w:rFonts w:ascii="Times New Roman" w:hAnsi="Times New Roman"/>
                <w:sz w:val="24"/>
              </w:rPr>
              <w:t>'</w:t>
            </w:r>
            <w:r w:rsidRPr="000D715C">
              <w:rPr>
                <w:rFonts w:ascii="Times New Roman" w:hAnsi="Times New Roman"/>
                <w:sz w:val="24"/>
              </w:rPr>
              <w:t>importo nella riga 30 di questo modello classificato come passività a norma dei principi contabili applicabili.</w:t>
            </w:r>
          </w:p>
        </w:tc>
      </w:tr>
      <w:tr w:rsidR="00C85971" w:rsidRPr="000D715C" w14:paraId="62AD6DB4" w14:textId="77777777" w:rsidTr="00D819DE">
        <w:tc>
          <w:tcPr>
            <w:tcW w:w="1172" w:type="dxa"/>
            <w:vAlign w:val="center"/>
          </w:tcPr>
          <w:p w14:paraId="6794E4A2"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33</w:t>
            </w:r>
          </w:p>
        </w:tc>
        <w:tc>
          <w:tcPr>
            <w:tcW w:w="7242" w:type="dxa"/>
            <w:vAlign w:val="center"/>
          </w:tcPr>
          <w:p w14:paraId="56140F84" w14:textId="2B495325"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Importo degli elementi ammissibili di cui all</w:t>
            </w:r>
            <w:r w:rsidR="005424B9" w:rsidRPr="000D715C">
              <w:rPr>
                <w:rFonts w:ascii="Times New Roman" w:hAnsi="Times New Roman"/>
                <w:sz w:val="24"/>
              </w:rPr>
              <w:t>'</w:t>
            </w:r>
            <w:r w:rsidRPr="000D715C">
              <w:rPr>
                <w:rFonts w:ascii="Times New Roman" w:hAnsi="Times New Roman"/>
                <w:sz w:val="24"/>
              </w:rPr>
              <w:t>articolo 484, paragrafo 4, del CRR e le relative riserve sovrapprezzo azioni, soggetti a eliminazione progressiva dal capitale AT1</w:t>
            </w:r>
          </w:p>
          <w:p w14:paraId="5AA40DAC" w14:textId="2F996846" w:rsidR="00C85971" w:rsidRPr="000D715C" w:rsidRDefault="00C85971" w:rsidP="00D819DE">
            <w:pPr>
              <w:spacing w:after="200"/>
              <w:jc w:val="both"/>
              <w:rPr>
                <w:rFonts w:ascii="Times New Roman" w:hAnsi="Times New Roman" w:cs="Times New Roman"/>
                <w:spacing w:val="-2"/>
                <w:sz w:val="24"/>
              </w:rPr>
            </w:pPr>
            <w:r w:rsidRPr="000D715C">
              <w:rPr>
                <w:rFonts w:ascii="Times New Roman" w:hAnsi="Times New Roman"/>
                <w:spacing w:val="-2"/>
                <w:sz w:val="24"/>
              </w:rPr>
              <w:lastRenderedPageBreak/>
              <w:t>Importo degli elementi ammissibili di cui all</w:t>
            </w:r>
            <w:r w:rsidR="005424B9" w:rsidRPr="000D715C">
              <w:rPr>
                <w:rFonts w:ascii="Times New Roman" w:hAnsi="Times New Roman"/>
                <w:spacing w:val="-2"/>
                <w:sz w:val="24"/>
              </w:rPr>
              <w:t>'</w:t>
            </w:r>
            <w:r w:rsidRPr="000D715C">
              <w:rPr>
                <w:rFonts w:ascii="Times New Roman" w:hAnsi="Times New Roman"/>
                <w:spacing w:val="-2"/>
                <w:sz w:val="24"/>
              </w:rPr>
              <w:t>articolo 484, paragrafo 4, del CRR e le relative riserve sovrapprezzo azioni, soggetti a eliminazione progressiva dal capitale AT1, conformemente all</w:t>
            </w:r>
            <w:r w:rsidR="005424B9" w:rsidRPr="000D715C">
              <w:rPr>
                <w:rFonts w:ascii="Times New Roman" w:hAnsi="Times New Roman"/>
                <w:spacing w:val="-2"/>
                <w:sz w:val="24"/>
              </w:rPr>
              <w:t>'</w:t>
            </w:r>
            <w:r w:rsidRPr="000D715C">
              <w:rPr>
                <w:rFonts w:ascii="Times New Roman" w:hAnsi="Times New Roman"/>
                <w:spacing w:val="-2"/>
                <w:sz w:val="24"/>
              </w:rPr>
              <w:t>articolo</w:t>
            </w:r>
            <w:r w:rsidR="000D715C" w:rsidRPr="000D715C">
              <w:rPr>
                <w:rFonts w:ascii="Times New Roman" w:hAnsi="Times New Roman"/>
                <w:spacing w:val="-2"/>
                <w:sz w:val="24"/>
              </w:rPr>
              <w:t> </w:t>
            </w:r>
            <w:r w:rsidRPr="000D715C">
              <w:rPr>
                <w:rFonts w:ascii="Times New Roman" w:hAnsi="Times New Roman"/>
                <w:spacing w:val="-2"/>
                <w:sz w:val="24"/>
              </w:rPr>
              <w:t>486, paragrafo</w:t>
            </w:r>
            <w:r w:rsidR="000D715C" w:rsidRPr="000D715C">
              <w:rPr>
                <w:rFonts w:ascii="Times New Roman" w:hAnsi="Times New Roman"/>
                <w:spacing w:val="-2"/>
                <w:sz w:val="24"/>
              </w:rPr>
              <w:t> </w:t>
            </w:r>
            <w:r w:rsidRPr="000D715C">
              <w:rPr>
                <w:rFonts w:ascii="Times New Roman" w:hAnsi="Times New Roman"/>
                <w:spacing w:val="-2"/>
                <w:sz w:val="24"/>
              </w:rPr>
              <w:t>3, del CRR.</w:t>
            </w:r>
          </w:p>
        </w:tc>
      </w:tr>
      <w:tr w:rsidR="00C85971" w:rsidRPr="000D715C" w14:paraId="35D70960" w14:textId="77777777" w:rsidTr="00D819DE">
        <w:tc>
          <w:tcPr>
            <w:tcW w:w="1172" w:type="dxa"/>
            <w:vAlign w:val="center"/>
          </w:tcPr>
          <w:p w14:paraId="325673A6"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lastRenderedPageBreak/>
              <w:t>EU-33a</w:t>
            </w:r>
          </w:p>
        </w:tc>
        <w:tc>
          <w:tcPr>
            <w:tcW w:w="7242" w:type="dxa"/>
            <w:vAlign w:val="center"/>
          </w:tcPr>
          <w:p w14:paraId="399F784E" w14:textId="684D861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Importo degli elementi ammissibili di cui all</w:t>
            </w:r>
            <w:r w:rsidR="005424B9" w:rsidRPr="000D715C">
              <w:rPr>
                <w:rFonts w:ascii="Times New Roman" w:hAnsi="Times New Roman"/>
                <w:sz w:val="24"/>
              </w:rPr>
              <w:t>'</w:t>
            </w:r>
            <w:r w:rsidRPr="000D715C">
              <w:rPr>
                <w:rFonts w:ascii="Times New Roman" w:hAnsi="Times New Roman"/>
                <w:sz w:val="24"/>
              </w:rPr>
              <w:t>articolo 494 bis, paragrafo 1, del CRR soggetti a eliminazione graduale dal capitale AT1</w:t>
            </w:r>
          </w:p>
        </w:tc>
      </w:tr>
      <w:tr w:rsidR="00C85971" w:rsidRPr="000D715C" w14:paraId="797F5B5C" w14:textId="77777777" w:rsidTr="00D819DE">
        <w:tc>
          <w:tcPr>
            <w:tcW w:w="1172" w:type="dxa"/>
            <w:vAlign w:val="center"/>
          </w:tcPr>
          <w:p w14:paraId="158F74D4"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EU-33b</w:t>
            </w:r>
          </w:p>
        </w:tc>
        <w:tc>
          <w:tcPr>
            <w:tcW w:w="7242" w:type="dxa"/>
            <w:vAlign w:val="center"/>
          </w:tcPr>
          <w:p w14:paraId="3B81B166" w14:textId="77561359"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Importo degli elementi ammissibili di cui all</w:t>
            </w:r>
            <w:r w:rsidR="005424B9" w:rsidRPr="000D715C">
              <w:rPr>
                <w:rFonts w:ascii="Times New Roman" w:hAnsi="Times New Roman"/>
                <w:sz w:val="24"/>
              </w:rPr>
              <w:t>'</w:t>
            </w:r>
            <w:r w:rsidRPr="000D715C">
              <w:rPr>
                <w:rFonts w:ascii="Times New Roman" w:hAnsi="Times New Roman"/>
                <w:sz w:val="24"/>
              </w:rPr>
              <w:t>articolo 494 ter, paragrafo 1, del CRR soggetti a eliminazione graduale dal capitale AT1</w:t>
            </w:r>
          </w:p>
        </w:tc>
      </w:tr>
      <w:tr w:rsidR="00C85971" w:rsidRPr="000D715C" w14:paraId="665D488C" w14:textId="77777777" w:rsidTr="00D819DE">
        <w:tc>
          <w:tcPr>
            <w:tcW w:w="1172" w:type="dxa"/>
            <w:vAlign w:val="center"/>
          </w:tcPr>
          <w:p w14:paraId="25E0D94D"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34</w:t>
            </w:r>
          </w:p>
        </w:tc>
        <w:tc>
          <w:tcPr>
            <w:tcW w:w="7242" w:type="dxa"/>
            <w:vAlign w:val="center"/>
          </w:tcPr>
          <w:p w14:paraId="3DFD22A2"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Capitale di classe 1 ammissibile incluso nel capitale AT1 consolidato (compresi gli interessi di minoranza non inclusi nella riga 5) emesso da filiazioni e detenuto da terzi</w:t>
            </w:r>
          </w:p>
          <w:p w14:paraId="33267B84"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Capitale di classe 1 ammissibile incluso nel capitale AT1 consolidato (compresi gli interessi di minoranza non inclusi nella riga 5) emesso da filiazioni e detenuto da terzi, conformemente agli articoli 85 e 86 del CRR.</w:t>
            </w:r>
          </w:p>
        </w:tc>
      </w:tr>
      <w:tr w:rsidR="00C85971" w:rsidRPr="000D715C" w14:paraId="6BC866FC" w14:textId="77777777" w:rsidTr="00D819DE">
        <w:tc>
          <w:tcPr>
            <w:tcW w:w="1172" w:type="dxa"/>
            <w:vAlign w:val="center"/>
          </w:tcPr>
          <w:p w14:paraId="23B51BA5"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35</w:t>
            </w:r>
          </w:p>
        </w:tc>
        <w:tc>
          <w:tcPr>
            <w:tcW w:w="7242" w:type="dxa"/>
            <w:vAlign w:val="center"/>
          </w:tcPr>
          <w:p w14:paraId="75F25B49"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Di cui strumenti emessi da filiazioni soggetti a eliminazione progressiva</w:t>
            </w:r>
          </w:p>
          <w:p w14:paraId="6DA4F142" w14:textId="1B34AFDF"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L</w:t>
            </w:r>
            <w:r w:rsidR="005424B9" w:rsidRPr="000D715C">
              <w:rPr>
                <w:rFonts w:ascii="Times New Roman" w:hAnsi="Times New Roman"/>
                <w:sz w:val="24"/>
              </w:rPr>
              <w:t>'</w:t>
            </w:r>
            <w:r w:rsidRPr="000D715C">
              <w:rPr>
                <w:rFonts w:ascii="Times New Roman" w:hAnsi="Times New Roman"/>
                <w:sz w:val="24"/>
              </w:rPr>
              <w:t>importo riportato nella riga 34 di questo modello relativo agli strumenti emessi da filiazioni, soggetti a eliminazione progressiva, di cui all</w:t>
            </w:r>
            <w:r w:rsidR="005424B9" w:rsidRPr="000D715C">
              <w:rPr>
                <w:rFonts w:ascii="Times New Roman" w:hAnsi="Times New Roman"/>
                <w:sz w:val="24"/>
              </w:rPr>
              <w:t>'</w:t>
            </w:r>
            <w:r w:rsidRPr="000D715C">
              <w:rPr>
                <w:rFonts w:ascii="Times New Roman" w:hAnsi="Times New Roman"/>
                <w:sz w:val="24"/>
              </w:rPr>
              <w:t>articolo</w:t>
            </w:r>
            <w:r w:rsidR="005424B9" w:rsidRPr="000D715C">
              <w:rPr>
                <w:rFonts w:ascii="Times New Roman" w:hAnsi="Times New Roman"/>
                <w:sz w:val="24"/>
              </w:rPr>
              <w:t> </w:t>
            </w:r>
            <w:r w:rsidRPr="000D715C">
              <w:rPr>
                <w:rFonts w:ascii="Times New Roman" w:hAnsi="Times New Roman"/>
                <w:sz w:val="24"/>
              </w:rPr>
              <w:t>486, paragrafo 3, del CRR.</w:t>
            </w:r>
          </w:p>
        </w:tc>
      </w:tr>
      <w:tr w:rsidR="00C85971" w:rsidRPr="000D715C" w14:paraId="3D629E2A" w14:textId="77777777" w:rsidTr="00D819DE">
        <w:tc>
          <w:tcPr>
            <w:tcW w:w="1172" w:type="dxa"/>
            <w:vAlign w:val="center"/>
          </w:tcPr>
          <w:p w14:paraId="0223D50D"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36</w:t>
            </w:r>
          </w:p>
        </w:tc>
        <w:tc>
          <w:tcPr>
            <w:tcW w:w="7242" w:type="dxa"/>
            <w:vAlign w:val="center"/>
          </w:tcPr>
          <w:p w14:paraId="33B0FECF"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Capitale aggiuntivo di classe 1 (AT1) prima delle rettifiche regolamentari</w:t>
            </w:r>
          </w:p>
          <w:p w14:paraId="282C0FB0"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Somma degli importi nelle righe 30, 33, EU-33a, EU-33b e 34 di questo modello.</w:t>
            </w:r>
          </w:p>
        </w:tc>
      </w:tr>
      <w:tr w:rsidR="00C85971" w:rsidRPr="000D715C" w14:paraId="09436136" w14:textId="77777777" w:rsidTr="00D819DE">
        <w:tc>
          <w:tcPr>
            <w:tcW w:w="1172" w:type="dxa"/>
            <w:vAlign w:val="center"/>
          </w:tcPr>
          <w:p w14:paraId="0B5A9930"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37</w:t>
            </w:r>
          </w:p>
        </w:tc>
        <w:tc>
          <w:tcPr>
            <w:tcW w:w="7242" w:type="dxa"/>
            <w:vAlign w:val="center"/>
          </w:tcPr>
          <w:p w14:paraId="2DB37771" w14:textId="26D92F1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Strumenti propri di capitale AT1 detenuti dall</w:t>
            </w:r>
            <w:r w:rsidR="005424B9" w:rsidRPr="000D715C">
              <w:rPr>
                <w:rFonts w:ascii="Times New Roman" w:hAnsi="Times New Roman"/>
                <w:sz w:val="24"/>
              </w:rPr>
              <w:t>'</w:t>
            </w:r>
            <w:r w:rsidRPr="000D715C">
              <w:rPr>
                <w:rFonts w:ascii="Times New Roman" w:hAnsi="Times New Roman"/>
                <w:sz w:val="24"/>
              </w:rPr>
              <w:t>ente direttamente, indirettamente o sinteticamente (importo negativo)</w:t>
            </w:r>
          </w:p>
          <w:p w14:paraId="58F9FBF2" w14:textId="1AF65E08"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Strumenti propri di capitale AT1 detenuti dall</w:t>
            </w:r>
            <w:r w:rsidR="005424B9" w:rsidRPr="000D715C">
              <w:rPr>
                <w:rFonts w:ascii="Times New Roman" w:hAnsi="Times New Roman"/>
                <w:sz w:val="24"/>
              </w:rPr>
              <w:t>'</w:t>
            </w:r>
            <w:r w:rsidRPr="000D715C">
              <w:rPr>
                <w:rFonts w:ascii="Times New Roman" w:hAnsi="Times New Roman"/>
                <w:sz w:val="24"/>
              </w:rPr>
              <w:t>ente direttamente, indirettamente o sinteticamente, di cui all</w:t>
            </w:r>
            <w:r w:rsidR="005424B9" w:rsidRPr="000D715C">
              <w:rPr>
                <w:rFonts w:ascii="Times New Roman" w:hAnsi="Times New Roman"/>
                <w:sz w:val="24"/>
              </w:rPr>
              <w:t>'</w:t>
            </w:r>
            <w:r w:rsidRPr="000D715C">
              <w:rPr>
                <w:rFonts w:ascii="Times New Roman" w:hAnsi="Times New Roman"/>
                <w:sz w:val="24"/>
              </w:rPr>
              <w:t>articolo 52, paragrafo 1, lettera</w:t>
            </w:r>
            <w:r w:rsidR="005424B9" w:rsidRPr="000D715C">
              <w:rPr>
                <w:rFonts w:ascii="Times New Roman" w:hAnsi="Times New Roman"/>
                <w:sz w:val="24"/>
              </w:rPr>
              <w:t> </w:t>
            </w:r>
            <w:r w:rsidRPr="000D715C">
              <w:rPr>
                <w:rFonts w:ascii="Times New Roman" w:hAnsi="Times New Roman"/>
                <w:sz w:val="24"/>
              </w:rPr>
              <w:t>b), all</w:t>
            </w:r>
            <w:r w:rsidR="005424B9" w:rsidRPr="000D715C">
              <w:rPr>
                <w:rFonts w:ascii="Times New Roman" w:hAnsi="Times New Roman"/>
                <w:sz w:val="24"/>
              </w:rPr>
              <w:t>'</w:t>
            </w:r>
            <w:r w:rsidRPr="000D715C">
              <w:rPr>
                <w:rFonts w:ascii="Times New Roman" w:hAnsi="Times New Roman"/>
                <w:sz w:val="24"/>
              </w:rPr>
              <w:t>articolo 56, lettera a), e all</w:t>
            </w:r>
            <w:r w:rsidR="005424B9" w:rsidRPr="000D715C">
              <w:rPr>
                <w:rFonts w:ascii="Times New Roman" w:hAnsi="Times New Roman"/>
                <w:sz w:val="24"/>
              </w:rPr>
              <w:t>'</w:t>
            </w:r>
            <w:r w:rsidRPr="000D715C">
              <w:rPr>
                <w:rFonts w:ascii="Times New Roman" w:hAnsi="Times New Roman"/>
                <w:sz w:val="24"/>
              </w:rPr>
              <w:t>articolo 57 del CRR (importo negativo).</w:t>
            </w:r>
          </w:p>
        </w:tc>
      </w:tr>
      <w:tr w:rsidR="00C85971" w:rsidRPr="000D715C" w14:paraId="66530AD0" w14:textId="77777777" w:rsidTr="00D819DE">
        <w:tc>
          <w:tcPr>
            <w:tcW w:w="1172" w:type="dxa"/>
            <w:vAlign w:val="center"/>
          </w:tcPr>
          <w:p w14:paraId="78F5167A"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38</w:t>
            </w:r>
          </w:p>
        </w:tc>
        <w:tc>
          <w:tcPr>
            <w:tcW w:w="7242" w:type="dxa"/>
            <w:vAlign w:val="center"/>
          </w:tcPr>
          <w:p w14:paraId="6D6C398F" w14:textId="7CCD47A1"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Strumenti di capitale AT1 di soggetti del settore finanziario detenuti direttamente, indirettamente o sinteticamente, quando tali soggetti detengono con l</w:t>
            </w:r>
            <w:r w:rsidR="005424B9" w:rsidRPr="000D715C">
              <w:rPr>
                <w:rFonts w:ascii="Times New Roman" w:hAnsi="Times New Roman"/>
                <w:sz w:val="24"/>
              </w:rPr>
              <w:t>'</w:t>
            </w:r>
            <w:r w:rsidRPr="000D715C">
              <w:rPr>
                <w:rFonts w:ascii="Times New Roman" w:hAnsi="Times New Roman"/>
                <w:sz w:val="24"/>
              </w:rPr>
              <w:t>ente una partecipazione incrociata reciproca concepita per gonfiare artificialmente i fondi propri dell</w:t>
            </w:r>
            <w:r w:rsidR="005424B9" w:rsidRPr="000D715C">
              <w:rPr>
                <w:rFonts w:ascii="Times New Roman" w:hAnsi="Times New Roman"/>
                <w:sz w:val="24"/>
              </w:rPr>
              <w:t>'</w:t>
            </w:r>
            <w:r w:rsidRPr="000D715C">
              <w:rPr>
                <w:rFonts w:ascii="Times New Roman" w:hAnsi="Times New Roman"/>
                <w:sz w:val="24"/>
              </w:rPr>
              <w:t>ente (importo negativo)</w:t>
            </w:r>
          </w:p>
          <w:p w14:paraId="6BE90ADF" w14:textId="746F9214"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Strumenti di capitale AT1 di soggetti del settore finanziario detenuti direttamente, indirettamente o sinteticamente, quando tali soggetti detengono con l</w:t>
            </w:r>
            <w:r w:rsidR="005424B9" w:rsidRPr="000D715C">
              <w:rPr>
                <w:rFonts w:ascii="Times New Roman" w:hAnsi="Times New Roman"/>
                <w:sz w:val="24"/>
              </w:rPr>
              <w:t>'</w:t>
            </w:r>
            <w:r w:rsidRPr="000D715C">
              <w:rPr>
                <w:rFonts w:ascii="Times New Roman" w:hAnsi="Times New Roman"/>
                <w:sz w:val="24"/>
              </w:rPr>
              <w:t>ente una partecipazione incrociata reciproca concepita per gonfiare artificialmente i fondi propri dell</w:t>
            </w:r>
            <w:r w:rsidR="005424B9" w:rsidRPr="000D715C">
              <w:rPr>
                <w:rFonts w:ascii="Times New Roman" w:hAnsi="Times New Roman"/>
                <w:sz w:val="24"/>
              </w:rPr>
              <w:t>'</w:t>
            </w:r>
            <w:r w:rsidRPr="000D715C">
              <w:rPr>
                <w:rFonts w:ascii="Times New Roman" w:hAnsi="Times New Roman"/>
                <w:sz w:val="24"/>
              </w:rPr>
              <w:t>ente, di cui all</w:t>
            </w:r>
            <w:r w:rsidR="005424B9" w:rsidRPr="000D715C">
              <w:rPr>
                <w:rFonts w:ascii="Times New Roman" w:hAnsi="Times New Roman"/>
                <w:sz w:val="24"/>
              </w:rPr>
              <w:t>'</w:t>
            </w:r>
            <w:r w:rsidRPr="000D715C">
              <w:rPr>
                <w:rFonts w:ascii="Times New Roman" w:hAnsi="Times New Roman"/>
                <w:sz w:val="24"/>
              </w:rPr>
              <w:t>articolo 56, lettera b), e all</w:t>
            </w:r>
            <w:r w:rsidR="005424B9" w:rsidRPr="000D715C">
              <w:rPr>
                <w:rFonts w:ascii="Times New Roman" w:hAnsi="Times New Roman"/>
                <w:sz w:val="24"/>
              </w:rPr>
              <w:t>'</w:t>
            </w:r>
            <w:r w:rsidRPr="000D715C">
              <w:rPr>
                <w:rFonts w:ascii="Times New Roman" w:hAnsi="Times New Roman"/>
                <w:sz w:val="24"/>
              </w:rPr>
              <w:t>articolo 58 del CRR (importo negativo).</w:t>
            </w:r>
          </w:p>
        </w:tc>
      </w:tr>
      <w:tr w:rsidR="00C85971" w:rsidRPr="000D715C" w14:paraId="2E049DFF" w14:textId="77777777" w:rsidTr="00D819DE">
        <w:tc>
          <w:tcPr>
            <w:tcW w:w="1172" w:type="dxa"/>
            <w:vAlign w:val="center"/>
          </w:tcPr>
          <w:p w14:paraId="1AD2CCDE"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39</w:t>
            </w:r>
          </w:p>
        </w:tc>
        <w:tc>
          <w:tcPr>
            <w:tcW w:w="7242" w:type="dxa"/>
            <w:vAlign w:val="center"/>
          </w:tcPr>
          <w:p w14:paraId="240A2B6E" w14:textId="07EFB523"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Strumenti di capitale AT1 di soggetti del settore finanziario detenuti direttamente, indirettamente o sinteticamente, quando l</w:t>
            </w:r>
            <w:r w:rsidR="005424B9" w:rsidRPr="000D715C">
              <w:rPr>
                <w:rFonts w:ascii="Times New Roman" w:hAnsi="Times New Roman"/>
                <w:sz w:val="24"/>
              </w:rPr>
              <w:t>'</w:t>
            </w:r>
            <w:r w:rsidRPr="000D715C">
              <w:rPr>
                <w:rFonts w:ascii="Times New Roman" w:hAnsi="Times New Roman"/>
                <w:sz w:val="24"/>
              </w:rPr>
              <w:t>ente non ha un investimento significativo in tali soggetti (importo superiore alla soglia del 10 % e al netto di posizioni corte ammissibili) (importo negativo)</w:t>
            </w:r>
          </w:p>
          <w:p w14:paraId="3530D914" w14:textId="46075B01"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lastRenderedPageBreak/>
              <w:t>Strumenti di capitale AT1 di soggetti del settore finanziario detenuti direttamente, indirettamente o sinteticamente, quando l</w:t>
            </w:r>
            <w:r w:rsidR="005424B9" w:rsidRPr="000D715C">
              <w:rPr>
                <w:rFonts w:ascii="Times New Roman" w:hAnsi="Times New Roman"/>
                <w:sz w:val="24"/>
              </w:rPr>
              <w:t>'</w:t>
            </w:r>
            <w:r w:rsidRPr="000D715C">
              <w:rPr>
                <w:rFonts w:ascii="Times New Roman" w:hAnsi="Times New Roman"/>
                <w:sz w:val="24"/>
              </w:rPr>
              <w:t>ente non ha un investimento significativo in tali soggetti (importo superiore alla soglia del 10 % e al netto di posizioni corte ammissibili), di cui all</w:t>
            </w:r>
            <w:r w:rsidR="005424B9" w:rsidRPr="000D715C">
              <w:rPr>
                <w:rFonts w:ascii="Times New Roman" w:hAnsi="Times New Roman"/>
                <w:sz w:val="24"/>
              </w:rPr>
              <w:t>'</w:t>
            </w:r>
            <w:r w:rsidRPr="000D715C">
              <w:rPr>
                <w:rFonts w:ascii="Times New Roman" w:hAnsi="Times New Roman"/>
                <w:sz w:val="24"/>
              </w:rPr>
              <w:t>articolo 56, lettera c), e agli articoli 59, 60 e 79 del CRR (importo negativo).</w:t>
            </w:r>
          </w:p>
        </w:tc>
      </w:tr>
      <w:tr w:rsidR="00C85971" w:rsidRPr="000D715C" w14:paraId="5BFE8669" w14:textId="77777777" w:rsidTr="00D819DE">
        <w:tc>
          <w:tcPr>
            <w:tcW w:w="1172" w:type="dxa"/>
            <w:vAlign w:val="center"/>
          </w:tcPr>
          <w:p w14:paraId="022E0F4A"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lastRenderedPageBreak/>
              <w:t>40</w:t>
            </w:r>
          </w:p>
        </w:tc>
        <w:tc>
          <w:tcPr>
            <w:tcW w:w="7242" w:type="dxa"/>
            <w:vAlign w:val="center"/>
          </w:tcPr>
          <w:p w14:paraId="3C0D4095" w14:textId="14DFE6CF"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Strumenti di capitale AT1 di soggetti del settore finanziario detenuti dall</w:t>
            </w:r>
            <w:r w:rsidR="005424B9" w:rsidRPr="000D715C">
              <w:rPr>
                <w:rFonts w:ascii="Times New Roman" w:hAnsi="Times New Roman"/>
                <w:sz w:val="24"/>
              </w:rPr>
              <w:t>'</w:t>
            </w:r>
            <w:r w:rsidRPr="000D715C">
              <w:rPr>
                <w:rFonts w:ascii="Times New Roman" w:hAnsi="Times New Roman"/>
                <w:sz w:val="24"/>
              </w:rPr>
              <w:t>ente direttamente, indirettamente o sinteticamente, quando l</w:t>
            </w:r>
            <w:r w:rsidR="005424B9" w:rsidRPr="000D715C">
              <w:rPr>
                <w:rFonts w:ascii="Times New Roman" w:hAnsi="Times New Roman"/>
                <w:sz w:val="24"/>
              </w:rPr>
              <w:t>'</w:t>
            </w:r>
            <w:r w:rsidRPr="000D715C">
              <w:rPr>
                <w:rFonts w:ascii="Times New Roman" w:hAnsi="Times New Roman"/>
                <w:sz w:val="24"/>
              </w:rPr>
              <w:t>ente ha un investimento significativo in tali soggetti (al netto di posizioni corte ammissibili) (importo negativo)</w:t>
            </w:r>
          </w:p>
          <w:p w14:paraId="63735E89" w14:textId="0C612694"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Strumenti di capitale AT1 di soggetti del settore finanziario detenuti dall</w:t>
            </w:r>
            <w:r w:rsidR="005424B9" w:rsidRPr="000D715C">
              <w:rPr>
                <w:rFonts w:ascii="Times New Roman" w:hAnsi="Times New Roman"/>
                <w:sz w:val="24"/>
              </w:rPr>
              <w:t>'</w:t>
            </w:r>
            <w:r w:rsidRPr="000D715C">
              <w:rPr>
                <w:rFonts w:ascii="Times New Roman" w:hAnsi="Times New Roman"/>
                <w:sz w:val="24"/>
              </w:rPr>
              <w:t>ente direttamente, indirettamente o sinteticamente, quando l</w:t>
            </w:r>
            <w:r w:rsidR="005424B9" w:rsidRPr="000D715C">
              <w:rPr>
                <w:rFonts w:ascii="Times New Roman" w:hAnsi="Times New Roman"/>
                <w:sz w:val="24"/>
              </w:rPr>
              <w:t>'</w:t>
            </w:r>
            <w:r w:rsidRPr="000D715C">
              <w:rPr>
                <w:rFonts w:ascii="Times New Roman" w:hAnsi="Times New Roman"/>
                <w:sz w:val="24"/>
              </w:rPr>
              <w:t>ente ha un investimento significativo in tali soggetti (al netto di posizioni corte ammissibili), di cui all</w:t>
            </w:r>
            <w:r w:rsidR="005424B9" w:rsidRPr="000D715C">
              <w:rPr>
                <w:rFonts w:ascii="Times New Roman" w:hAnsi="Times New Roman"/>
                <w:sz w:val="24"/>
              </w:rPr>
              <w:t>'</w:t>
            </w:r>
            <w:r w:rsidRPr="000D715C">
              <w:rPr>
                <w:rFonts w:ascii="Times New Roman" w:hAnsi="Times New Roman"/>
                <w:sz w:val="24"/>
              </w:rPr>
              <w:t>articolo 56, lettera d), e agli articoli 59 e 79 del CRR (importo negativo).</w:t>
            </w:r>
          </w:p>
        </w:tc>
      </w:tr>
      <w:tr w:rsidR="00C85971" w:rsidRPr="000D715C" w14:paraId="5CE6BE67" w14:textId="77777777" w:rsidTr="00D819DE">
        <w:tc>
          <w:tcPr>
            <w:tcW w:w="1172" w:type="dxa"/>
            <w:vAlign w:val="center"/>
          </w:tcPr>
          <w:p w14:paraId="4E773F6A"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41</w:t>
            </w:r>
          </w:p>
        </w:tc>
        <w:tc>
          <w:tcPr>
            <w:tcW w:w="7242" w:type="dxa"/>
            <w:vAlign w:val="center"/>
          </w:tcPr>
          <w:p w14:paraId="4FC8941B"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Non applicabile</w:t>
            </w:r>
          </w:p>
        </w:tc>
      </w:tr>
      <w:tr w:rsidR="00C85971" w:rsidRPr="000D715C" w14:paraId="0AAFA270" w14:textId="77777777" w:rsidTr="00D819DE">
        <w:tc>
          <w:tcPr>
            <w:tcW w:w="1172" w:type="dxa"/>
            <w:vAlign w:val="center"/>
          </w:tcPr>
          <w:p w14:paraId="1B235328"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42</w:t>
            </w:r>
          </w:p>
        </w:tc>
        <w:tc>
          <w:tcPr>
            <w:tcW w:w="7242" w:type="dxa"/>
            <w:vAlign w:val="center"/>
          </w:tcPr>
          <w:p w14:paraId="3539E1ED" w14:textId="6E23BEB6"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Deduzioni ammissibili dal capitale T2 che superano gli elementi del capitale T2 dell</w:t>
            </w:r>
            <w:r w:rsidR="005424B9" w:rsidRPr="000D715C">
              <w:rPr>
                <w:rFonts w:ascii="Times New Roman" w:hAnsi="Times New Roman"/>
                <w:sz w:val="24"/>
              </w:rPr>
              <w:t>'</w:t>
            </w:r>
            <w:r w:rsidRPr="000D715C">
              <w:rPr>
                <w:rFonts w:ascii="Times New Roman" w:hAnsi="Times New Roman"/>
                <w:sz w:val="24"/>
              </w:rPr>
              <w:t>ente (importo negativo)</w:t>
            </w:r>
          </w:p>
          <w:p w14:paraId="089D0403" w14:textId="50EAA664"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Deduzioni ammissibili dal capitale T2 che superano gli elementi del capitale T2 dell</w:t>
            </w:r>
            <w:r w:rsidR="005424B9" w:rsidRPr="000D715C">
              <w:rPr>
                <w:rFonts w:ascii="Times New Roman" w:hAnsi="Times New Roman"/>
                <w:sz w:val="24"/>
              </w:rPr>
              <w:t>'</w:t>
            </w:r>
            <w:r w:rsidRPr="000D715C">
              <w:rPr>
                <w:rFonts w:ascii="Times New Roman" w:hAnsi="Times New Roman"/>
                <w:sz w:val="24"/>
              </w:rPr>
              <w:t>ente, di cui all</w:t>
            </w:r>
            <w:r w:rsidR="005424B9" w:rsidRPr="000D715C">
              <w:rPr>
                <w:rFonts w:ascii="Times New Roman" w:hAnsi="Times New Roman"/>
                <w:sz w:val="24"/>
              </w:rPr>
              <w:t>'</w:t>
            </w:r>
            <w:r w:rsidRPr="000D715C">
              <w:rPr>
                <w:rFonts w:ascii="Times New Roman" w:hAnsi="Times New Roman"/>
                <w:sz w:val="24"/>
              </w:rPr>
              <w:t>articolo 56, lettera e), del CRR (importo negativo).</w:t>
            </w:r>
          </w:p>
        </w:tc>
      </w:tr>
      <w:tr w:rsidR="00C85971" w:rsidRPr="000D715C" w14:paraId="6B7A2BD2" w14:textId="77777777" w:rsidTr="00D819DE">
        <w:tc>
          <w:tcPr>
            <w:tcW w:w="1172" w:type="dxa"/>
            <w:vAlign w:val="center"/>
          </w:tcPr>
          <w:p w14:paraId="0EF750C6"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Eu-42a</w:t>
            </w:r>
          </w:p>
        </w:tc>
        <w:tc>
          <w:tcPr>
            <w:tcW w:w="7242" w:type="dxa"/>
            <w:vAlign w:val="center"/>
          </w:tcPr>
          <w:p w14:paraId="40E2643E"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Altre rettifiche regolamentari del capitale AT1</w:t>
            </w:r>
          </w:p>
          <w:p w14:paraId="482C6DB9" w14:textId="360BC84B"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Gli enti indicano in questa riga le rettifiche regolamentari applicabili, segnalate nell</w:t>
            </w:r>
            <w:r w:rsidR="005424B9" w:rsidRPr="000D715C">
              <w:rPr>
                <w:rFonts w:ascii="Times New Roman" w:hAnsi="Times New Roman"/>
                <w:sz w:val="24"/>
              </w:rPr>
              <w:t>'</w:t>
            </w:r>
            <w:r w:rsidRPr="000D715C">
              <w:rPr>
                <w:rFonts w:ascii="Times New Roman" w:hAnsi="Times New Roman"/>
                <w:sz w:val="24"/>
              </w:rPr>
              <w:t>ambito delle segnalazioni a fini di vigilanza e non incluse in altre righe di questo modello.</w:t>
            </w:r>
          </w:p>
        </w:tc>
      </w:tr>
      <w:tr w:rsidR="00C85971" w:rsidRPr="000D715C" w14:paraId="08AEFC48" w14:textId="77777777" w:rsidTr="00D819DE">
        <w:tc>
          <w:tcPr>
            <w:tcW w:w="1172" w:type="dxa"/>
            <w:vAlign w:val="center"/>
          </w:tcPr>
          <w:p w14:paraId="48EFFA6B"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43</w:t>
            </w:r>
          </w:p>
        </w:tc>
        <w:tc>
          <w:tcPr>
            <w:tcW w:w="7242" w:type="dxa"/>
            <w:vAlign w:val="center"/>
          </w:tcPr>
          <w:p w14:paraId="3966C0B3"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Totale delle rettifiche regolamentari del capitale aggiuntivo di classe 1 (AT1)</w:t>
            </w:r>
          </w:p>
          <w:p w14:paraId="35FB6719"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Somma degli importi nelle righe da 37 a EU-42a di questo modello.</w:t>
            </w:r>
          </w:p>
        </w:tc>
      </w:tr>
      <w:tr w:rsidR="00C85971" w:rsidRPr="000D715C" w14:paraId="1134A6E3" w14:textId="77777777" w:rsidTr="00D819DE">
        <w:tc>
          <w:tcPr>
            <w:tcW w:w="1172" w:type="dxa"/>
            <w:vAlign w:val="center"/>
          </w:tcPr>
          <w:p w14:paraId="3C111399"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44</w:t>
            </w:r>
          </w:p>
        </w:tc>
        <w:tc>
          <w:tcPr>
            <w:tcW w:w="7242" w:type="dxa"/>
            <w:vAlign w:val="center"/>
          </w:tcPr>
          <w:p w14:paraId="7629AC52"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Capitale aggiuntivo di classe 1 (AT1)</w:t>
            </w:r>
          </w:p>
          <w:p w14:paraId="37C4BA87" w14:textId="77777777" w:rsidR="00C85971" w:rsidRPr="000D715C" w:rsidRDefault="00C85971" w:rsidP="00D819DE">
            <w:pPr>
              <w:spacing w:after="200"/>
              <w:jc w:val="both"/>
              <w:rPr>
                <w:rFonts w:ascii="Times New Roman" w:hAnsi="Times New Roman"/>
                <w:sz w:val="24"/>
              </w:rPr>
            </w:pPr>
            <w:r w:rsidRPr="000D715C">
              <w:rPr>
                <w:rFonts w:ascii="Times New Roman" w:hAnsi="Times New Roman"/>
                <w:sz w:val="24"/>
              </w:rPr>
              <w:t>Capitale aggiuntivo di classe 1 (AT1), da calcolarsi come la riga 36 meno la riga 43 di questo modello.</w:t>
            </w:r>
          </w:p>
        </w:tc>
      </w:tr>
      <w:tr w:rsidR="00C85971" w:rsidRPr="000D715C" w14:paraId="58B57B34" w14:textId="77777777" w:rsidTr="00D819DE">
        <w:tc>
          <w:tcPr>
            <w:tcW w:w="1172" w:type="dxa"/>
            <w:vAlign w:val="center"/>
          </w:tcPr>
          <w:p w14:paraId="2BF2FDC6"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45</w:t>
            </w:r>
          </w:p>
        </w:tc>
        <w:tc>
          <w:tcPr>
            <w:tcW w:w="7242" w:type="dxa"/>
            <w:vAlign w:val="center"/>
          </w:tcPr>
          <w:p w14:paraId="23FE6E52"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Capitale di classe 1 (T1 = CET1 + AT1)</w:t>
            </w:r>
          </w:p>
          <w:p w14:paraId="72DB0E03" w14:textId="77777777" w:rsidR="00C85971" w:rsidRPr="000D715C" w:rsidRDefault="00C85971" w:rsidP="00D819DE">
            <w:pPr>
              <w:spacing w:after="200"/>
              <w:jc w:val="both"/>
              <w:rPr>
                <w:rFonts w:ascii="Times New Roman" w:hAnsi="Times New Roman"/>
                <w:sz w:val="24"/>
              </w:rPr>
            </w:pPr>
            <w:r w:rsidRPr="000D715C">
              <w:rPr>
                <w:rFonts w:ascii="Times New Roman" w:hAnsi="Times New Roman"/>
                <w:sz w:val="24"/>
              </w:rPr>
              <w:t>Capitale di classe 1, da calcolarsi come la somma delle righe 29 e 44 di questo modello.</w:t>
            </w:r>
          </w:p>
        </w:tc>
      </w:tr>
      <w:tr w:rsidR="00C85971" w:rsidRPr="000D715C" w14:paraId="12D4B8D6" w14:textId="77777777" w:rsidTr="00D819DE">
        <w:tc>
          <w:tcPr>
            <w:tcW w:w="1172" w:type="dxa"/>
            <w:vAlign w:val="center"/>
          </w:tcPr>
          <w:p w14:paraId="45446C4E"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46</w:t>
            </w:r>
          </w:p>
        </w:tc>
        <w:tc>
          <w:tcPr>
            <w:tcW w:w="7242" w:type="dxa"/>
            <w:vAlign w:val="center"/>
          </w:tcPr>
          <w:p w14:paraId="6CFBD42F"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Strumenti di capitale e le relative riserve sovrapprezzo azioni</w:t>
            </w:r>
          </w:p>
          <w:p w14:paraId="140805D7"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Strumenti di capitale e le relative riserve sovrapprezzo azioni, di cui agli articoli 62 e 63 del CRR.</w:t>
            </w:r>
          </w:p>
        </w:tc>
      </w:tr>
      <w:tr w:rsidR="00C85971" w:rsidRPr="000D715C" w14:paraId="2D90A860" w14:textId="77777777" w:rsidTr="00D819DE">
        <w:tc>
          <w:tcPr>
            <w:tcW w:w="1172" w:type="dxa"/>
            <w:vAlign w:val="center"/>
          </w:tcPr>
          <w:p w14:paraId="05C3B845"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lastRenderedPageBreak/>
              <w:t>47</w:t>
            </w:r>
          </w:p>
        </w:tc>
        <w:tc>
          <w:tcPr>
            <w:tcW w:w="7242" w:type="dxa"/>
            <w:vAlign w:val="center"/>
          </w:tcPr>
          <w:p w14:paraId="4080F054" w14:textId="7DC355F5"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Importo degli elementi ammissibili di cui all</w:t>
            </w:r>
            <w:r w:rsidR="005424B9" w:rsidRPr="000D715C">
              <w:rPr>
                <w:rFonts w:ascii="Times New Roman" w:hAnsi="Times New Roman"/>
                <w:sz w:val="24"/>
              </w:rPr>
              <w:t>'</w:t>
            </w:r>
            <w:r w:rsidRPr="000D715C">
              <w:rPr>
                <w:rFonts w:ascii="Times New Roman" w:hAnsi="Times New Roman"/>
                <w:sz w:val="24"/>
              </w:rPr>
              <w:t>articolo 484, paragrafo 5, del CRR e le relative riserve sovrapprezzo azioni, soggetti a eliminazione progressiva dal capitaleT2, di cui all</w:t>
            </w:r>
            <w:r w:rsidR="005424B9" w:rsidRPr="000D715C">
              <w:rPr>
                <w:rFonts w:ascii="Times New Roman" w:hAnsi="Times New Roman"/>
                <w:sz w:val="24"/>
              </w:rPr>
              <w:t>'</w:t>
            </w:r>
            <w:r w:rsidRPr="000D715C">
              <w:rPr>
                <w:rFonts w:ascii="Times New Roman" w:hAnsi="Times New Roman"/>
                <w:sz w:val="24"/>
              </w:rPr>
              <w:t>articolo 486, paragrafo 4, del CRR</w:t>
            </w:r>
          </w:p>
        </w:tc>
      </w:tr>
      <w:tr w:rsidR="00C85971" w:rsidRPr="000D715C" w14:paraId="072DFB14" w14:textId="77777777" w:rsidTr="00D819DE">
        <w:tc>
          <w:tcPr>
            <w:tcW w:w="1172" w:type="dxa"/>
            <w:vAlign w:val="center"/>
          </w:tcPr>
          <w:p w14:paraId="219826E5"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EU-47a</w:t>
            </w:r>
          </w:p>
        </w:tc>
        <w:tc>
          <w:tcPr>
            <w:tcW w:w="7242" w:type="dxa"/>
            <w:vAlign w:val="center"/>
          </w:tcPr>
          <w:p w14:paraId="6518E59F" w14:textId="3B8CC51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Importo degli elementi ammissibili di cui all</w:t>
            </w:r>
            <w:r w:rsidR="005424B9" w:rsidRPr="000D715C">
              <w:rPr>
                <w:rFonts w:ascii="Times New Roman" w:hAnsi="Times New Roman"/>
                <w:sz w:val="24"/>
              </w:rPr>
              <w:t>'</w:t>
            </w:r>
            <w:r w:rsidRPr="000D715C">
              <w:rPr>
                <w:rFonts w:ascii="Times New Roman" w:hAnsi="Times New Roman"/>
                <w:sz w:val="24"/>
              </w:rPr>
              <w:t>articolo 494 bis, paragrafo 2, del CRR soggetti a eliminazione graduale dal capitale T2</w:t>
            </w:r>
          </w:p>
        </w:tc>
      </w:tr>
      <w:tr w:rsidR="00C85971" w:rsidRPr="000D715C" w14:paraId="662FF1A8" w14:textId="77777777" w:rsidTr="00D819DE">
        <w:tc>
          <w:tcPr>
            <w:tcW w:w="1172" w:type="dxa"/>
            <w:vAlign w:val="center"/>
          </w:tcPr>
          <w:p w14:paraId="0A05DA7A"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EU-47b</w:t>
            </w:r>
          </w:p>
        </w:tc>
        <w:tc>
          <w:tcPr>
            <w:tcW w:w="7242" w:type="dxa"/>
            <w:vAlign w:val="center"/>
          </w:tcPr>
          <w:p w14:paraId="1D9B343E" w14:textId="02A796B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Importo degli elementi ammissibili di cui all</w:t>
            </w:r>
            <w:r w:rsidR="005424B9" w:rsidRPr="000D715C">
              <w:rPr>
                <w:rFonts w:ascii="Times New Roman" w:hAnsi="Times New Roman"/>
                <w:sz w:val="24"/>
              </w:rPr>
              <w:t>'</w:t>
            </w:r>
            <w:r w:rsidRPr="000D715C">
              <w:rPr>
                <w:rFonts w:ascii="Times New Roman" w:hAnsi="Times New Roman"/>
                <w:sz w:val="24"/>
              </w:rPr>
              <w:t>articolo 494 ter, paragrafo 2, del CRR soggetti a eliminazione graduale dal capitale T2</w:t>
            </w:r>
          </w:p>
        </w:tc>
      </w:tr>
      <w:tr w:rsidR="00C85971" w:rsidRPr="000D715C" w14:paraId="7AA9A4D1" w14:textId="77777777" w:rsidTr="00D819DE">
        <w:tc>
          <w:tcPr>
            <w:tcW w:w="1172" w:type="dxa"/>
            <w:vAlign w:val="center"/>
          </w:tcPr>
          <w:p w14:paraId="5856B0A4"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48</w:t>
            </w:r>
          </w:p>
        </w:tc>
        <w:tc>
          <w:tcPr>
            <w:tcW w:w="7242" w:type="dxa"/>
            <w:vAlign w:val="center"/>
          </w:tcPr>
          <w:p w14:paraId="10C37207"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Strumenti di fondi propri ammissibili inclusi nel capitale T2 consolidato (compresi gli interessi di minoranza e gli strumenti di capitale AT1 non inclusi nella riga 5 o nella riga 34) emessi da filiazioni e detenuti da terzi</w:t>
            </w:r>
          </w:p>
          <w:p w14:paraId="34FA1FFB"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Strumenti di fondi propri ammissibili inclusi nel capitaleT2 consolidato (compresi gli interessi di minoranza e strumenti di capitale AT1 non inclusi nella riga 5 o nella riga 34 di questo modello) emessi da filiazioni e detenuti da terzi, di cui agli articoli 87 e 88 del CRR.</w:t>
            </w:r>
          </w:p>
        </w:tc>
      </w:tr>
      <w:tr w:rsidR="00C85971" w:rsidRPr="000D715C" w14:paraId="7CF5EC35" w14:textId="77777777" w:rsidTr="00D819DE">
        <w:tc>
          <w:tcPr>
            <w:tcW w:w="1172" w:type="dxa"/>
            <w:vAlign w:val="center"/>
          </w:tcPr>
          <w:p w14:paraId="5924CE73"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49</w:t>
            </w:r>
          </w:p>
        </w:tc>
        <w:tc>
          <w:tcPr>
            <w:tcW w:w="7242" w:type="dxa"/>
            <w:vAlign w:val="center"/>
          </w:tcPr>
          <w:p w14:paraId="7410FA99"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Di cui strumenti emessi da filiazioni soggetti a eliminazione progressiva</w:t>
            </w:r>
          </w:p>
          <w:p w14:paraId="4A6AC434" w14:textId="24E8E586"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Dell</w:t>
            </w:r>
            <w:r w:rsidR="005424B9" w:rsidRPr="000D715C">
              <w:rPr>
                <w:rFonts w:ascii="Times New Roman" w:hAnsi="Times New Roman"/>
                <w:sz w:val="24"/>
              </w:rPr>
              <w:t>'</w:t>
            </w:r>
            <w:r w:rsidRPr="000D715C">
              <w:rPr>
                <w:rFonts w:ascii="Times New Roman" w:hAnsi="Times New Roman"/>
                <w:sz w:val="24"/>
              </w:rPr>
              <w:t>importo nella riga 48, l</w:t>
            </w:r>
            <w:r w:rsidR="005424B9" w:rsidRPr="000D715C">
              <w:rPr>
                <w:rFonts w:ascii="Times New Roman" w:hAnsi="Times New Roman"/>
                <w:sz w:val="24"/>
              </w:rPr>
              <w:t>'</w:t>
            </w:r>
            <w:r w:rsidRPr="000D715C">
              <w:rPr>
                <w:rFonts w:ascii="Times New Roman" w:hAnsi="Times New Roman"/>
                <w:sz w:val="24"/>
              </w:rPr>
              <w:t>importo relativo agli strumenti emessi da filiazioni soggetti a eliminazione progressiva, di cui all</w:t>
            </w:r>
            <w:r w:rsidR="005424B9" w:rsidRPr="000D715C">
              <w:rPr>
                <w:rFonts w:ascii="Times New Roman" w:hAnsi="Times New Roman"/>
                <w:sz w:val="24"/>
              </w:rPr>
              <w:t>'</w:t>
            </w:r>
            <w:r w:rsidRPr="000D715C">
              <w:rPr>
                <w:rFonts w:ascii="Times New Roman" w:hAnsi="Times New Roman"/>
                <w:sz w:val="24"/>
              </w:rPr>
              <w:t>articolo</w:t>
            </w:r>
            <w:r w:rsidR="005424B9" w:rsidRPr="000D715C">
              <w:rPr>
                <w:rFonts w:ascii="Times New Roman" w:hAnsi="Times New Roman"/>
                <w:sz w:val="24"/>
              </w:rPr>
              <w:t> </w:t>
            </w:r>
            <w:r w:rsidRPr="000D715C">
              <w:rPr>
                <w:rFonts w:ascii="Times New Roman" w:hAnsi="Times New Roman"/>
                <w:sz w:val="24"/>
              </w:rPr>
              <w:t>486, paragrafo 4, del CRR.</w:t>
            </w:r>
          </w:p>
        </w:tc>
      </w:tr>
      <w:tr w:rsidR="00C85971" w:rsidRPr="000D715C" w14:paraId="2405178D" w14:textId="77777777" w:rsidTr="00D819DE">
        <w:tc>
          <w:tcPr>
            <w:tcW w:w="1172" w:type="dxa"/>
            <w:vAlign w:val="center"/>
          </w:tcPr>
          <w:p w14:paraId="0173ADFC"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50</w:t>
            </w:r>
          </w:p>
        </w:tc>
        <w:tc>
          <w:tcPr>
            <w:tcW w:w="7242" w:type="dxa"/>
            <w:vAlign w:val="center"/>
          </w:tcPr>
          <w:p w14:paraId="4DE6526B"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Rettifiche di valore su crediti</w:t>
            </w:r>
          </w:p>
          <w:p w14:paraId="17F4C3B8" w14:textId="1AFFC08D"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Rettifiche di valore su crediti conformemente all</w:t>
            </w:r>
            <w:r w:rsidR="005424B9" w:rsidRPr="000D715C">
              <w:rPr>
                <w:rFonts w:ascii="Times New Roman" w:hAnsi="Times New Roman"/>
                <w:sz w:val="24"/>
              </w:rPr>
              <w:t>'</w:t>
            </w:r>
            <w:r w:rsidRPr="000D715C">
              <w:rPr>
                <w:rFonts w:ascii="Times New Roman" w:hAnsi="Times New Roman"/>
                <w:sz w:val="24"/>
              </w:rPr>
              <w:t>articolo 62, lettere c) e d), del CRR.</w:t>
            </w:r>
          </w:p>
        </w:tc>
      </w:tr>
      <w:tr w:rsidR="00C85971" w:rsidRPr="000D715C" w14:paraId="1C2C753C" w14:textId="77777777" w:rsidTr="00D819DE">
        <w:tc>
          <w:tcPr>
            <w:tcW w:w="1172" w:type="dxa"/>
            <w:vAlign w:val="center"/>
          </w:tcPr>
          <w:p w14:paraId="72654E6B"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51</w:t>
            </w:r>
          </w:p>
        </w:tc>
        <w:tc>
          <w:tcPr>
            <w:tcW w:w="7242" w:type="dxa"/>
            <w:vAlign w:val="center"/>
          </w:tcPr>
          <w:p w14:paraId="337E42AD"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Capitale di classe 2 (T2) prima delle rettifiche regolamentari</w:t>
            </w:r>
          </w:p>
          <w:p w14:paraId="0DD0BE98" w14:textId="77777777" w:rsidR="00C85971" w:rsidRPr="000D715C" w:rsidRDefault="00C85971" w:rsidP="00D819DE">
            <w:pPr>
              <w:spacing w:after="200"/>
              <w:jc w:val="both"/>
              <w:rPr>
                <w:rFonts w:ascii="Times New Roman" w:hAnsi="Times New Roman"/>
                <w:sz w:val="24"/>
              </w:rPr>
            </w:pPr>
            <w:r w:rsidRPr="000D715C">
              <w:rPr>
                <w:rFonts w:ascii="Times New Roman" w:hAnsi="Times New Roman"/>
                <w:sz w:val="24"/>
              </w:rPr>
              <w:t>Somma degli importi nelle righe 46, 47, 48 e 50 di questo modello.</w:t>
            </w:r>
          </w:p>
        </w:tc>
      </w:tr>
      <w:tr w:rsidR="00C85971" w:rsidRPr="000D715C" w14:paraId="31904690" w14:textId="77777777" w:rsidTr="00D819DE">
        <w:tc>
          <w:tcPr>
            <w:tcW w:w="1172" w:type="dxa"/>
            <w:vAlign w:val="center"/>
          </w:tcPr>
          <w:p w14:paraId="709A321F"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52</w:t>
            </w:r>
          </w:p>
        </w:tc>
        <w:tc>
          <w:tcPr>
            <w:tcW w:w="7242" w:type="dxa"/>
            <w:vAlign w:val="center"/>
          </w:tcPr>
          <w:p w14:paraId="6681B95C" w14:textId="4029A0AE"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Strumenti propri di capitale T2 e prestiti subordinati detenuti dall</w:t>
            </w:r>
            <w:r w:rsidR="005424B9" w:rsidRPr="000D715C">
              <w:rPr>
                <w:rFonts w:ascii="Times New Roman" w:hAnsi="Times New Roman"/>
                <w:sz w:val="24"/>
              </w:rPr>
              <w:t>'</w:t>
            </w:r>
            <w:r w:rsidRPr="000D715C">
              <w:rPr>
                <w:rFonts w:ascii="Times New Roman" w:hAnsi="Times New Roman"/>
                <w:sz w:val="24"/>
              </w:rPr>
              <w:t>ente direttamente, indirettamente o sinteticamente (importo negativo)</w:t>
            </w:r>
          </w:p>
          <w:p w14:paraId="19B0E00E" w14:textId="0E3FBD8F"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Strumenti propri di capitale T2 e prestiti subordinati detenuti dall</w:t>
            </w:r>
            <w:r w:rsidR="005424B9" w:rsidRPr="000D715C">
              <w:rPr>
                <w:rFonts w:ascii="Times New Roman" w:hAnsi="Times New Roman"/>
                <w:sz w:val="24"/>
              </w:rPr>
              <w:t>'</w:t>
            </w:r>
            <w:r w:rsidRPr="000D715C">
              <w:rPr>
                <w:rFonts w:ascii="Times New Roman" w:hAnsi="Times New Roman"/>
                <w:sz w:val="24"/>
              </w:rPr>
              <w:t>ente direttamente, indirettamente o sinteticamente, di cui all</w:t>
            </w:r>
            <w:r w:rsidR="005424B9" w:rsidRPr="000D715C">
              <w:rPr>
                <w:rFonts w:ascii="Times New Roman" w:hAnsi="Times New Roman"/>
                <w:sz w:val="24"/>
              </w:rPr>
              <w:t>'</w:t>
            </w:r>
            <w:r w:rsidRPr="000D715C">
              <w:rPr>
                <w:rFonts w:ascii="Times New Roman" w:hAnsi="Times New Roman"/>
                <w:sz w:val="24"/>
              </w:rPr>
              <w:t>articolo 63, lettera</w:t>
            </w:r>
            <w:r w:rsidR="005424B9" w:rsidRPr="000D715C">
              <w:rPr>
                <w:rFonts w:ascii="Times New Roman" w:hAnsi="Times New Roman"/>
                <w:sz w:val="24"/>
              </w:rPr>
              <w:t> </w:t>
            </w:r>
            <w:r w:rsidRPr="000D715C">
              <w:rPr>
                <w:rFonts w:ascii="Times New Roman" w:hAnsi="Times New Roman"/>
                <w:sz w:val="24"/>
              </w:rPr>
              <w:t>b), punto i), all</w:t>
            </w:r>
            <w:r w:rsidR="005424B9" w:rsidRPr="000D715C">
              <w:rPr>
                <w:rFonts w:ascii="Times New Roman" w:hAnsi="Times New Roman"/>
                <w:sz w:val="24"/>
              </w:rPr>
              <w:t>'</w:t>
            </w:r>
            <w:r w:rsidRPr="000D715C">
              <w:rPr>
                <w:rFonts w:ascii="Times New Roman" w:hAnsi="Times New Roman"/>
                <w:sz w:val="24"/>
              </w:rPr>
              <w:t>articolo 66, lettera a), e all</w:t>
            </w:r>
            <w:r w:rsidR="005424B9" w:rsidRPr="000D715C">
              <w:rPr>
                <w:rFonts w:ascii="Times New Roman" w:hAnsi="Times New Roman"/>
                <w:sz w:val="24"/>
              </w:rPr>
              <w:t>'</w:t>
            </w:r>
            <w:r w:rsidRPr="000D715C">
              <w:rPr>
                <w:rFonts w:ascii="Times New Roman" w:hAnsi="Times New Roman"/>
                <w:sz w:val="24"/>
              </w:rPr>
              <w:t>articolo 67 del CRR (importo negativo).</w:t>
            </w:r>
          </w:p>
        </w:tc>
      </w:tr>
      <w:tr w:rsidR="00C85971" w:rsidRPr="000D715C" w14:paraId="6EFA8D4D" w14:textId="77777777" w:rsidTr="00D819DE">
        <w:tc>
          <w:tcPr>
            <w:tcW w:w="1172" w:type="dxa"/>
            <w:vAlign w:val="center"/>
          </w:tcPr>
          <w:p w14:paraId="06EFD51D"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53</w:t>
            </w:r>
          </w:p>
        </w:tc>
        <w:tc>
          <w:tcPr>
            <w:tcW w:w="7242" w:type="dxa"/>
            <w:vAlign w:val="center"/>
          </w:tcPr>
          <w:p w14:paraId="39CF61FF" w14:textId="16DAC564"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Strumenti di capitale T2 e prestiti subordinati di soggetti del settore finanziario detenuti dall</w:t>
            </w:r>
            <w:r w:rsidR="005424B9" w:rsidRPr="000D715C">
              <w:rPr>
                <w:rFonts w:ascii="Times New Roman" w:hAnsi="Times New Roman"/>
                <w:sz w:val="24"/>
              </w:rPr>
              <w:t>'</w:t>
            </w:r>
            <w:r w:rsidRPr="000D715C">
              <w:rPr>
                <w:rFonts w:ascii="Times New Roman" w:hAnsi="Times New Roman"/>
                <w:sz w:val="24"/>
              </w:rPr>
              <w:t>ente direttamente, indirettamente o sinteticamente, quando tali soggetti detengono con l</w:t>
            </w:r>
            <w:r w:rsidR="005424B9" w:rsidRPr="000D715C">
              <w:rPr>
                <w:rFonts w:ascii="Times New Roman" w:hAnsi="Times New Roman"/>
                <w:sz w:val="24"/>
              </w:rPr>
              <w:t>'</w:t>
            </w:r>
            <w:r w:rsidRPr="000D715C">
              <w:rPr>
                <w:rFonts w:ascii="Times New Roman" w:hAnsi="Times New Roman"/>
                <w:sz w:val="24"/>
              </w:rPr>
              <w:t>ente una partecipazione incrociata reciproca concepita per gonfiare artificialmente i fondi propri dell</w:t>
            </w:r>
            <w:r w:rsidR="005424B9" w:rsidRPr="000D715C">
              <w:rPr>
                <w:rFonts w:ascii="Times New Roman" w:hAnsi="Times New Roman"/>
                <w:sz w:val="24"/>
              </w:rPr>
              <w:t>'</w:t>
            </w:r>
            <w:r w:rsidRPr="000D715C">
              <w:rPr>
                <w:rFonts w:ascii="Times New Roman" w:hAnsi="Times New Roman"/>
                <w:sz w:val="24"/>
              </w:rPr>
              <w:t>ente (importo negativo)</w:t>
            </w:r>
          </w:p>
          <w:p w14:paraId="63EF50C5" w14:textId="69F98A0E"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Strumenti di capitale T2 e prestiti subordinati di soggetti del settore finanziario detenuti dall</w:t>
            </w:r>
            <w:r w:rsidR="005424B9" w:rsidRPr="000D715C">
              <w:rPr>
                <w:rFonts w:ascii="Times New Roman" w:hAnsi="Times New Roman"/>
                <w:sz w:val="24"/>
              </w:rPr>
              <w:t>'</w:t>
            </w:r>
            <w:r w:rsidRPr="000D715C">
              <w:rPr>
                <w:rFonts w:ascii="Times New Roman" w:hAnsi="Times New Roman"/>
                <w:sz w:val="24"/>
              </w:rPr>
              <w:t>ente direttamente, indirettamente o sinteticamente, quando tali soggetti detengono con l</w:t>
            </w:r>
            <w:r w:rsidR="005424B9" w:rsidRPr="000D715C">
              <w:rPr>
                <w:rFonts w:ascii="Times New Roman" w:hAnsi="Times New Roman"/>
                <w:sz w:val="24"/>
              </w:rPr>
              <w:t>'</w:t>
            </w:r>
            <w:r w:rsidRPr="000D715C">
              <w:rPr>
                <w:rFonts w:ascii="Times New Roman" w:hAnsi="Times New Roman"/>
                <w:sz w:val="24"/>
              </w:rPr>
              <w:t xml:space="preserve">ente una partecipazione incrociata reciproca concepita per gonfiare artificialmente </w:t>
            </w:r>
            <w:r w:rsidRPr="000D715C">
              <w:rPr>
                <w:rFonts w:ascii="Times New Roman" w:hAnsi="Times New Roman"/>
                <w:sz w:val="24"/>
              </w:rPr>
              <w:lastRenderedPageBreak/>
              <w:t>i fondi propri dell</w:t>
            </w:r>
            <w:r w:rsidR="005424B9" w:rsidRPr="000D715C">
              <w:rPr>
                <w:rFonts w:ascii="Times New Roman" w:hAnsi="Times New Roman"/>
                <w:sz w:val="24"/>
              </w:rPr>
              <w:t>'</w:t>
            </w:r>
            <w:r w:rsidRPr="000D715C">
              <w:rPr>
                <w:rFonts w:ascii="Times New Roman" w:hAnsi="Times New Roman"/>
                <w:sz w:val="24"/>
              </w:rPr>
              <w:t>ente, di cui all</w:t>
            </w:r>
            <w:r w:rsidR="005424B9" w:rsidRPr="000D715C">
              <w:rPr>
                <w:rFonts w:ascii="Times New Roman" w:hAnsi="Times New Roman"/>
                <w:sz w:val="24"/>
              </w:rPr>
              <w:t>'</w:t>
            </w:r>
            <w:r w:rsidRPr="000D715C">
              <w:rPr>
                <w:rFonts w:ascii="Times New Roman" w:hAnsi="Times New Roman"/>
                <w:sz w:val="24"/>
              </w:rPr>
              <w:t>articolo 66, lettera b), e all</w:t>
            </w:r>
            <w:r w:rsidR="005424B9" w:rsidRPr="000D715C">
              <w:rPr>
                <w:rFonts w:ascii="Times New Roman" w:hAnsi="Times New Roman"/>
                <w:sz w:val="24"/>
              </w:rPr>
              <w:t>'</w:t>
            </w:r>
            <w:r w:rsidRPr="000D715C">
              <w:rPr>
                <w:rFonts w:ascii="Times New Roman" w:hAnsi="Times New Roman"/>
                <w:sz w:val="24"/>
              </w:rPr>
              <w:t>articolo 68 del CRR (importo negativo).</w:t>
            </w:r>
          </w:p>
        </w:tc>
      </w:tr>
      <w:tr w:rsidR="00C85971" w:rsidRPr="000D715C" w14:paraId="219230BA" w14:textId="77777777" w:rsidTr="00D819DE">
        <w:tc>
          <w:tcPr>
            <w:tcW w:w="1172" w:type="dxa"/>
            <w:vAlign w:val="center"/>
          </w:tcPr>
          <w:p w14:paraId="1D0BA6DB"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lastRenderedPageBreak/>
              <w:t>54</w:t>
            </w:r>
          </w:p>
        </w:tc>
        <w:tc>
          <w:tcPr>
            <w:tcW w:w="7242" w:type="dxa"/>
            <w:vAlign w:val="center"/>
          </w:tcPr>
          <w:p w14:paraId="630CD7FA" w14:textId="6739E8AB"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Strumenti di capitale T2 e prestiti subordinati di soggetti del settore finanziario detenuti dall</w:t>
            </w:r>
            <w:r w:rsidR="005424B9" w:rsidRPr="000D715C">
              <w:rPr>
                <w:rFonts w:ascii="Times New Roman" w:hAnsi="Times New Roman"/>
                <w:sz w:val="24"/>
              </w:rPr>
              <w:t>'</w:t>
            </w:r>
            <w:r w:rsidRPr="000D715C">
              <w:rPr>
                <w:rFonts w:ascii="Times New Roman" w:hAnsi="Times New Roman"/>
                <w:sz w:val="24"/>
              </w:rPr>
              <w:t>ente direttamente, indirettamente o sinteticamente, quando l</w:t>
            </w:r>
            <w:r w:rsidR="005424B9" w:rsidRPr="000D715C">
              <w:rPr>
                <w:rFonts w:ascii="Times New Roman" w:hAnsi="Times New Roman"/>
                <w:sz w:val="24"/>
              </w:rPr>
              <w:t>'</w:t>
            </w:r>
            <w:r w:rsidRPr="000D715C">
              <w:rPr>
                <w:rFonts w:ascii="Times New Roman" w:hAnsi="Times New Roman"/>
                <w:sz w:val="24"/>
              </w:rPr>
              <w:t>ente non ha un investimento significativo in tali soggetti (importo superiore alla soglia del 10 % e al netto di posizioni corte ammissibili) (importo negativo)</w:t>
            </w:r>
          </w:p>
          <w:p w14:paraId="7EC68967" w14:textId="3FA14380"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Strumenti di capitale T2 e prestiti subordinati di soggetti del settore finanziario detenuti dall</w:t>
            </w:r>
            <w:r w:rsidR="005424B9" w:rsidRPr="000D715C">
              <w:rPr>
                <w:rFonts w:ascii="Times New Roman" w:hAnsi="Times New Roman"/>
                <w:sz w:val="24"/>
              </w:rPr>
              <w:t>'</w:t>
            </w:r>
            <w:r w:rsidRPr="000D715C">
              <w:rPr>
                <w:rFonts w:ascii="Times New Roman" w:hAnsi="Times New Roman"/>
                <w:sz w:val="24"/>
              </w:rPr>
              <w:t>ente direttamente, indirettamente o sinteticamente, quando l</w:t>
            </w:r>
            <w:r w:rsidR="005424B9" w:rsidRPr="000D715C">
              <w:rPr>
                <w:rFonts w:ascii="Times New Roman" w:hAnsi="Times New Roman"/>
                <w:sz w:val="24"/>
              </w:rPr>
              <w:t>'</w:t>
            </w:r>
            <w:r w:rsidRPr="000D715C">
              <w:rPr>
                <w:rFonts w:ascii="Times New Roman" w:hAnsi="Times New Roman"/>
                <w:sz w:val="24"/>
              </w:rPr>
              <w:t>ente non ha un investimento significativo in tali soggetti (importo superiore alla soglia del 10 % e al netto di posizioni corte ammissibili), di cui all</w:t>
            </w:r>
            <w:r w:rsidR="005424B9" w:rsidRPr="000D715C">
              <w:rPr>
                <w:rFonts w:ascii="Times New Roman" w:hAnsi="Times New Roman"/>
                <w:sz w:val="24"/>
              </w:rPr>
              <w:t>'</w:t>
            </w:r>
            <w:r w:rsidRPr="000D715C">
              <w:rPr>
                <w:rFonts w:ascii="Times New Roman" w:hAnsi="Times New Roman"/>
                <w:sz w:val="24"/>
              </w:rPr>
              <w:t>articolo 66, lettera c) e agli articoli 69, 70 e 79 del CRR (importo negativo).</w:t>
            </w:r>
          </w:p>
        </w:tc>
      </w:tr>
      <w:tr w:rsidR="00C85971" w:rsidRPr="000D715C" w14:paraId="4CF79A0E" w14:textId="77777777" w:rsidTr="00D819DE">
        <w:tc>
          <w:tcPr>
            <w:tcW w:w="1172" w:type="dxa"/>
            <w:vAlign w:val="center"/>
          </w:tcPr>
          <w:p w14:paraId="0064103D"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54a</w:t>
            </w:r>
          </w:p>
        </w:tc>
        <w:tc>
          <w:tcPr>
            <w:tcW w:w="7242" w:type="dxa"/>
            <w:vAlign w:val="center"/>
          </w:tcPr>
          <w:p w14:paraId="19CF9E46"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Non applicabile</w:t>
            </w:r>
          </w:p>
        </w:tc>
      </w:tr>
      <w:tr w:rsidR="00C85971" w:rsidRPr="000D715C" w14:paraId="2F8BDCF5" w14:textId="77777777" w:rsidTr="00D819DE">
        <w:tc>
          <w:tcPr>
            <w:tcW w:w="1172" w:type="dxa"/>
            <w:vAlign w:val="center"/>
          </w:tcPr>
          <w:p w14:paraId="51DDDCE3"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55</w:t>
            </w:r>
          </w:p>
        </w:tc>
        <w:tc>
          <w:tcPr>
            <w:tcW w:w="7242" w:type="dxa"/>
            <w:vAlign w:val="center"/>
          </w:tcPr>
          <w:p w14:paraId="476FDFA9" w14:textId="6D3D60E7" w:rsidR="00C85971" w:rsidRPr="000D715C" w:rsidRDefault="00C85971" w:rsidP="00D819DE">
            <w:pPr>
              <w:spacing w:after="200"/>
              <w:jc w:val="both"/>
              <w:rPr>
                <w:rFonts w:ascii="Times New Roman" w:hAnsi="Times New Roman" w:cs="Times New Roman"/>
                <w:spacing w:val="-2"/>
                <w:sz w:val="24"/>
              </w:rPr>
            </w:pPr>
            <w:r w:rsidRPr="000D715C">
              <w:rPr>
                <w:rFonts w:ascii="Times New Roman" w:hAnsi="Times New Roman"/>
                <w:spacing w:val="-2"/>
                <w:sz w:val="24"/>
              </w:rPr>
              <w:t>Strumenti di capitale T2 e prestiti subordinati di soggetti del settore finanziario detenuti dall</w:t>
            </w:r>
            <w:r w:rsidR="005424B9" w:rsidRPr="000D715C">
              <w:rPr>
                <w:rFonts w:ascii="Times New Roman" w:hAnsi="Times New Roman"/>
                <w:spacing w:val="-2"/>
                <w:sz w:val="24"/>
              </w:rPr>
              <w:t>'</w:t>
            </w:r>
            <w:r w:rsidRPr="000D715C">
              <w:rPr>
                <w:rFonts w:ascii="Times New Roman" w:hAnsi="Times New Roman"/>
                <w:spacing w:val="-2"/>
                <w:sz w:val="24"/>
              </w:rPr>
              <w:t>ente direttamente, indirettamente o sinteticamente, quando l</w:t>
            </w:r>
            <w:r w:rsidR="005424B9" w:rsidRPr="000D715C">
              <w:rPr>
                <w:rFonts w:ascii="Times New Roman" w:hAnsi="Times New Roman"/>
                <w:spacing w:val="-2"/>
                <w:sz w:val="24"/>
              </w:rPr>
              <w:t>'</w:t>
            </w:r>
            <w:r w:rsidRPr="000D715C">
              <w:rPr>
                <w:rFonts w:ascii="Times New Roman" w:hAnsi="Times New Roman"/>
                <w:spacing w:val="-2"/>
                <w:sz w:val="24"/>
              </w:rPr>
              <w:t>ente ha un investimento significativo in tali soggetti (al netto di posizioni corte ammissibili) (importo negativo)</w:t>
            </w:r>
          </w:p>
          <w:p w14:paraId="29E41F27" w14:textId="178D9632" w:rsidR="00C85971" w:rsidRPr="000D715C" w:rsidRDefault="00C85971" w:rsidP="00D819DE">
            <w:pPr>
              <w:spacing w:after="200"/>
              <w:jc w:val="both"/>
              <w:rPr>
                <w:rFonts w:ascii="Times New Roman" w:hAnsi="Times New Roman" w:cs="Times New Roman"/>
                <w:spacing w:val="-2"/>
                <w:sz w:val="24"/>
              </w:rPr>
            </w:pPr>
            <w:r w:rsidRPr="000D715C">
              <w:rPr>
                <w:rFonts w:ascii="Times New Roman" w:hAnsi="Times New Roman"/>
                <w:spacing w:val="-2"/>
                <w:sz w:val="24"/>
              </w:rPr>
              <w:t>Strumenti di capitale T2 e prestiti subordinati di soggetti del settore finanziario detenuti dall</w:t>
            </w:r>
            <w:r w:rsidR="005424B9" w:rsidRPr="000D715C">
              <w:rPr>
                <w:rFonts w:ascii="Times New Roman" w:hAnsi="Times New Roman"/>
                <w:spacing w:val="-2"/>
                <w:sz w:val="24"/>
              </w:rPr>
              <w:t>'</w:t>
            </w:r>
            <w:r w:rsidRPr="000D715C">
              <w:rPr>
                <w:rFonts w:ascii="Times New Roman" w:hAnsi="Times New Roman"/>
                <w:spacing w:val="-2"/>
                <w:sz w:val="24"/>
              </w:rPr>
              <w:t>ente direttamente, indirettamente o sinteticamente, quando l</w:t>
            </w:r>
            <w:r w:rsidR="005424B9" w:rsidRPr="000D715C">
              <w:rPr>
                <w:rFonts w:ascii="Times New Roman" w:hAnsi="Times New Roman"/>
                <w:spacing w:val="-2"/>
                <w:sz w:val="24"/>
              </w:rPr>
              <w:t>'</w:t>
            </w:r>
            <w:r w:rsidRPr="000D715C">
              <w:rPr>
                <w:rFonts w:ascii="Times New Roman" w:hAnsi="Times New Roman"/>
                <w:spacing w:val="-2"/>
                <w:sz w:val="24"/>
              </w:rPr>
              <w:t>ente ha un investimento significativo in tali soggetti (al netto di posizioni corte ammissibili), di cui all</w:t>
            </w:r>
            <w:r w:rsidR="005424B9" w:rsidRPr="000D715C">
              <w:rPr>
                <w:rFonts w:ascii="Times New Roman" w:hAnsi="Times New Roman"/>
                <w:spacing w:val="-2"/>
                <w:sz w:val="24"/>
              </w:rPr>
              <w:t>'</w:t>
            </w:r>
            <w:r w:rsidRPr="000D715C">
              <w:rPr>
                <w:rFonts w:ascii="Times New Roman" w:hAnsi="Times New Roman"/>
                <w:spacing w:val="-2"/>
                <w:sz w:val="24"/>
              </w:rPr>
              <w:t>articolo</w:t>
            </w:r>
            <w:r w:rsidR="000D715C" w:rsidRPr="000D715C">
              <w:t> </w:t>
            </w:r>
            <w:r w:rsidRPr="000D715C">
              <w:rPr>
                <w:rFonts w:ascii="Times New Roman" w:hAnsi="Times New Roman"/>
                <w:spacing w:val="-2"/>
                <w:sz w:val="24"/>
              </w:rPr>
              <w:t>66, lettera</w:t>
            </w:r>
            <w:r w:rsidR="000D715C" w:rsidRPr="000D715C">
              <w:rPr>
                <w:rFonts w:ascii="Times New Roman" w:hAnsi="Times New Roman"/>
                <w:spacing w:val="-2"/>
                <w:sz w:val="24"/>
              </w:rPr>
              <w:t> </w:t>
            </w:r>
            <w:r w:rsidRPr="000D715C">
              <w:rPr>
                <w:rFonts w:ascii="Times New Roman" w:hAnsi="Times New Roman"/>
                <w:spacing w:val="-2"/>
                <w:sz w:val="24"/>
              </w:rPr>
              <w:t>d), e agli articoli</w:t>
            </w:r>
            <w:r w:rsidR="000D715C" w:rsidRPr="000D715C">
              <w:rPr>
                <w:rFonts w:ascii="Times New Roman" w:hAnsi="Times New Roman"/>
                <w:spacing w:val="-2"/>
                <w:sz w:val="24"/>
              </w:rPr>
              <w:t> </w:t>
            </w:r>
            <w:r w:rsidRPr="000D715C">
              <w:rPr>
                <w:rFonts w:ascii="Times New Roman" w:hAnsi="Times New Roman"/>
                <w:spacing w:val="-2"/>
                <w:sz w:val="24"/>
              </w:rPr>
              <w:t>69 e 79 del CRR (importo negativo).</w:t>
            </w:r>
          </w:p>
        </w:tc>
      </w:tr>
      <w:tr w:rsidR="00C85971" w:rsidRPr="000D715C" w14:paraId="0148038E" w14:textId="77777777" w:rsidTr="00D819DE">
        <w:tc>
          <w:tcPr>
            <w:tcW w:w="1172" w:type="dxa"/>
            <w:vAlign w:val="center"/>
          </w:tcPr>
          <w:p w14:paraId="23A868EA"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56</w:t>
            </w:r>
          </w:p>
        </w:tc>
        <w:tc>
          <w:tcPr>
            <w:tcW w:w="7242" w:type="dxa"/>
            <w:vAlign w:val="center"/>
          </w:tcPr>
          <w:p w14:paraId="0ECD9E8B"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Non applicabile</w:t>
            </w:r>
          </w:p>
        </w:tc>
      </w:tr>
      <w:tr w:rsidR="00C85971" w:rsidRPr="000D715C" w14:paraId="2716DC8B" w14:textId="77777777" w:rsidTr="00D819DE">
        <w:tc>
          <w:tcPr>
            <w:tcW w:w="1172" w:type="dxa"/>
            <w:vAlign w:val="center"/>
          </w:tcPr>
          <w:p w14:paraId="42BD15E2" w14:textId="77777777" w:rsidR="00C85971" w:rsidRPr="000D715C" w:rsidRDefault="00C85971" w:rsidP="00D819DE">
            <w:pPr>
              <w:spacing w:after="200"/>
              <w:rPr>
                <w:rFonts w:ascii="Times New Roman" w:hAnsi="Times New Roman" w:cs="Times New Roman"/>
                <w:color w:val="000000" w:themeColor="text1"/>
                <w:sz w:val="24"/>
              </w:rPr>
            </w:pPr>
            <w:r w:rsidRPr="000D715C">
              <w:rPr>
                <w:rFonts w:ascii="Times New Roman" w:hAnsi="Times New Roman"/>
                <w:color w:val="000000" w:themeColor="text1"/>
                <w:sz w:val="24"/>
              </w:rPr>
              <w:t>EU-56a</w:t>
            </w:r>
          </w:p>
        </w:tc>
        <w:tc>
          <w:tcPr>
            <w:tcW w:w="7242" w:type="dxa"/>
            <w:vAlign w:val="center"/>
          </w:tcPr>
          <w:p w14:paraId="6AFD5AE3" w14:textId="20D07457" w:rsidR="00C85971" w:rsidRPr="000D715C" w:rsidRDefault="00C85971" w:rsidP="00D819DE">
            <w:pPr>
              <w:spacing w:after="200"/>
              <w:jc w:val="both"/>
              <w:rPr>
                <w:rFonts w:ascii="Times New Roman" w:hAnsi="Times New Roman" w:cs="Times New Roman"/>
                <w:color w:val="000000" w:themeColor="text1"/>
                <w:sz w:val="24"/>
              </w:rPr>
            </w:pPr>
            <w:r w:rsidRPr="000D715C">
              <w:rPr>
                <w:rFonts w:ascii="Times New Roman" w:hAnsi="Times New Roman"/>
                <w:color w:val="000000" w:themeColor="text1"/>
                <w:sz w:val="24"/>
              </w:rPr>
              <w:t>Deduzioni di passività ammissibili che superano gli elementi delle passività ammissibili dell</w:t>
            </w:r>
            <w:r w:rsidR="005424B9" w:rsidRPr="000D715C">
              <w:rPr>
                <w:rFonts w:ascii="Times New Roman" w:hAnsi="Times New Roman"/>
                <w:color w:val="000000" w:themeColor="text1"/>
                <w:sz w:val="24"/>
              </w:rPr>
              <w:t>'</w:t>
            </w:r>
            <w:r w:rsidRPr="000D715C">
              <w:rPr>
                <w:rFonts w:ascii="Times New Roman" w:hAnsi="Times New Roman"/>
                <w:color w:val="000000" w:themeColor="text1"/>
                <w:sz w:val="24"/>
              </w:rPr>
              <w:t>ente (importo negativo)</w:t>
            </w:r>
          </w:p>
          <w:p w14:paraId="1494AF54" w14:textId="3CEAB45E" w:rsidR="00C85971" w:rsidRPr="000D715C" w:rsidRDefault="00C85971" w:rsidP="00D819DE">
            <w:pPr>
              <w:spacing w:after="200"/>
              <w:jc w:val="both"/>
              <w:rPr>
                <w:rFonts w:ascii="Times New Roman" w:hAnsi="Times New Roman" w:cs="Times New Roman"/>
                <w:color w:val="000000" w:themeColor="text1"/>
                <w:sz w:val="24"/>
              </w:rPr>
            </w:pPr>
            <w:r w:rsidRPr="000D715C">
              <w:rPr>
                <w:rFonts w:ascii="Times New Roman" w:hAnsi="Times New Roman"/>
                <w:color w:val="000000" w:themeColor="text1"/>
                <w:sz w:val="24"/>
              </w:rPr>
              <w:t>Deduzioni di passività ammissibili che superano gli elementi delle passività ammissibili dell</w:t>
            </w:r>
            <w:r w:rsidR="005424B9" w:rsidRPr="000D715C">
              <w:rPr>
                <w:rFonts w:ascii="Times New Roman" w:hAnsi="Times New Roman"/>
                <w:color w:val="000000" w:themeColor="text1"/>
                <w:sz w:val="24"/>
              </w:rPr>
              <w:t>'</w:t>
            </w:r>
            <w:r w:rsidRPr="000D715C">
              <w:rPr>
                <w:rFonts w:ascii="Times New Roman" w:hAnsi="Times New Roman"/>
                <w:color w:val="000000" w:themeColor="text1"/>
                <w:sz w:val="24"/>
              </w:rPr>
              <w:t>ente conformemente</w:t>
            </w:r>
            <w:r w:rsidRPr="000D715C">
              <w:rPr>
                <w:rFonts w:ascii="Times New Roman" w:hAnsi="Times New Roman"/>
                <w:sz w:val="24"/>
              </w:rPr>
              <w:t xml:space="preserve"> all</w:t>
            </w:r>
            <w:r w:rsidR="005424B9" w:rsidRPr="000D715C">
              <w:rPr>
                <w:rFonts w:ascii="Times New Roman" w:hAnsi="Times New Roman"/>
                <w:sz w:val="24"/>
              </w:rPr>
              <w:t>'</w:t>
            </w:r>
            <w:r w:rsidRPr="000D715C">
              <w:rPr>
                <w:rFonts w:ascii="Times New Roman" w:hAnsi="Times New Roman"/>
                <w:sz w:val="24"/>
              </w:rPr>
              <w:t xml:space="preserve">articolo 66, lettera e), del CRR </w:t>
            </w:r>
            <w:r w:rsidRPr="000D715C">
              <w:rPr>
                <w:rFonts w:ascii="Times New Roman" w:hAnsi="Times New Roman"/>
                <w:color w:val="000000" w:themeColor="text1"/>
                <w:sz w:val="24"/>
              </w:rPr>
              <w:t>(importo negativo)</w:t>
            </w:r>
            <w:r w:rsidRPr="000D715C">
              <w:rPr>
                <w:rFonts w:ascii="Times New Roman" w:hAnsi="Times New Roman"/>
                <w:sz w:val="24"/>
              </w:rPr>
              <w:t>.</w:t>
            </w:r>
            <w:r w:rsidRPr="000D715C">
              <w:rPr>
                <w:rFonts w:ascii="Times New Roman" w:hAnsi="Times New Roman"/>
                <w:color w:val="000000" w:themeColor="text1"/>
                <w:sz w:val="24"/>
              </w:rPr>
              <w:t xml:space="preserve"> </w:t>
            </w:r>
          </w:p>
        </w:tc>
      </w:tr>
      <w:tr w:rsidR="00C85971" w:rsidRPr="000D715C" w14:paraId="03E3DFDB" w14:textId="77777777" w:rsidTr="00D819DE">
        <w:tc>
          <w:tcPr>
            <w:tcW w:w="1172" w:type="dxa"/>
            <w:vAlign w:val="center"/>
          </w:tcPr>
          <w:p w14:paraId="33178EB9"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Eu-56b</w:t>
            </w:r>
          </w:p>
        </w:tc>
        <w:tc>
          <w:tcPr>
            <w:tcW w:w="7242" w:type="dxa"/>
            <w:vAlign w:val="center"/>
          </w:tcPr>
          <w:p w14:paraId="29CB1AF6"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Altre rettifiche regolamentari del capitale T2</w:t>
            </w:r>
          </w:p>
          <w:p w14:paraId="6FD61B58" w14:textId="598A0F20"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Gli enti indicano in questa riga le rettifiche regolamentari applicabili, segnalate nell</w:t>
            </w:r>
            <w:r w:rsidR="005424B9" w:rsidRPr="000D715C">
              <w:rPr>
                <w:rFonts w:ascii="Times New Roman" w:hAnsi="Times New Roman"/>
                <w:sz w:val="24"/>
              </w:rPr>
              <w:t>'</w:t>
            </w:r>
            <w:r w:rsidRPr="000D715C">
              <w:rPr>
                <w:rFonts w:ascii="Times New Roman" w:hAnsi="Times New Roman"/>
                <w:sz w:val="24"/>
              </w:rPr>
              <w:t>ambito delle segnalazioni a fini di vigilanza e non incluse in altre righe di questo modello.</w:t>
            </w:r>
          </w:p>
        </w:tc>
      </w:tr>
      <w:tr w:rsidR="00C85971" w:rsidRPr="000D715C" w14:paraId="554EFD95" w14:textId="77777777" w:rsidTr="00D819DE">
        <w:tc>
          <w:tcPr>
            <w:tcW w:w="1172" w:type="dxa"/>
            <w:vAlign w:val="center"/>
          </w:tcPr>
          <w:p w14:paraId="580F82CA"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57</w:t>
            </w:r>
          </w:p>
        </w:tc>
        <w:tc>
          <w:tcPr>
            <w:tcW w:w="7242" w:type="dxa"/>
            <w:vAlign w:val="center"/>
          </w:tcPr>
          <w:p w14:paraId="66195BFE"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Totale delle rettifiche regolamentari del capitale di classe 2 (T2)</w:t>
            </w:r>
          </w:p>
          <w:p w14:paraId="75EB0C97"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Somma degli importi nelle righe da 52 a EU-56b di questo modello.</w:t>
            </w:r>
          </w:p>
        </w:tc>
      </w:tr>
      <w:tr w:rsidR="00C85971" w:rsidRPr="000D715C" w14:paraId="540074EE" w14:textId="77777777" w:rsidTr="00D819DE">
        <w:tc>
          <w:tcPr>
            <w:tcW w:w="1172" w:type="dxa"/>
            <w:vAlign w:val="center"/>
          </w:tcPr>
          <w:p w14:paraId="5263195D"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58</w:t>
            </w:r>
          </w:p>
        </w:tc>
        <w:tc>
          <w:tcPr>
            <w:tcW w:w="7242" w:type="dxa"/>
            <w:vAlign w:val="center"/>
          </w:tcPr>
          <w:p w14:paraId="3ED0F5A1"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Capitale di classe 2 (T2)</w:t>
            </w:r>
          </w:p>
          <w:p w14:paraId="716BEA17" w14:textId="77777777" w:rsidR="00C85971" w:rsidRPr="000D715C" w:rsidRDefault="00C85971" w:rsidP="00D819DE">
            <w:pPr>
              <w:spacing w:after="200"/>
              <w:jc w:val="both"/>
              <w:rPr>
                <w:rFonts w:ascii="Times New Roman" w:hAnsi="Times New Roman"/>
                <w:sz w:val="24"/>
              </w:rPr>
            </w:pPr>
            <w:r w:rsidRPr="000D715C">
              <w:rPr>
                <w:rFonts w:ascii="Times New Roman" w:hAnsi="Times New Roman"/>
                <w:sz w:val="24"/>
              </w:rPr>
              <w:t>Capitale di classe 2 (T2), da calcolarsi come la riga 51 meno la riga 57 di questo modello.</w:t>
            </w:r>
          </w:p>
        </w:tc>
      </w:tr>
      <w:tr w:rsidR="00C85971" w:rsidRPr="000D715C" w14:paraId="461D354A" w14:textId="77777777" w:rsidTr="00D819DE">
        <w:tc>
          <w:tcPr>
            <w:tcW w:w="1172" w:type="dxa"/>
            <w:vAlign w:val="center"/>
          </w:tcPr>
          <w:p w14:paraId="3092C2FA"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lastRenderedPageBreak/>
              <w:t>59</w:t>
            </w:r>
          </w:p>
        </w:tc>
        <w:tc>
          <w:tcPr>
            <w:tcW w:w="7242" w:type="dxa"/>
            <w:vAlign w:val="center"/>
          </w:tcPr>
          <w:p w14:paraId="094EB59C"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Capitale totale (TC = T1 + T2)</w:t>
            </w:r>
          </w:p>
          <w:p w14:paraId="2B99CB69"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Capitale totale, da calcolarsi come la somma delle righe 45 e 58 di questo modello.</w:t>
            </w:r>
          </w:p>
        </w:tc>
      </w:tr>
      <w:tr w:rsidR="00C85971" w:rsidRPr="000D715C" w14:paraId="75343758" w14:textId="77777777" w:rsidTr="00D819DE">
        <w:tc>
          <w:tcPr>
            <w:tcW w:w="1172" w:type="dxa"/>
            <w:vAlign w:val="center"/>
          </w:tcPr>
          <w:p w14:paraId="69922FEC"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60</w:t>
            </w:r>
          </w:p>
        </w:tc>
        <w:tc>
          <w:tcPr>
            <w:tcW w:w="7242" w:type="dxa"/>
            <w:vAlign w:val="center"/>
          </w:tcPr>
          <w:p w14:paraId="28455AFC" w14:textId="7CD723DF"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Importo complessivo dell</w:t>
            </w:r>
            <w:r w:rsidR="005424B9" w:rsidRPr="000D715C">
              <w:rPr>
                <w:rFonts w:ascii="Times New Roman" w:hAnsi="Times New Roman"/>
                <w:sz w:val="24"/>
              </w:rPr>
              <w:t>'</w:t>
            </w:r>
            <w:r w:rsidRPr="000D715C">
              <w:rPr>
                <w:rFonts w:ascii="Times New Roman" w:hAnsi="Times New Roman"/>
                <w:sz w:val="24"/>
              </w:rPr>
              <w:t>esposizione al rischio</w:t>
            </w:r>
          </w:p>
          <w:p w14:paraId="07C03EC1" w14:textId="52EC2874"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Importo complessivo dell</w:t>
            </w:r>
            <w:r w:rsidR="005424B9" w:rsidRPr="000D715C">
              <w:rPr>
                <w:rFonts w:ascii="Times New Roman" w:hAnsi="Times New Roman"/>
                <w:sz w:val="24"/>
              </w:rPr>
              <w:t>'</w:t>
            </w:r>
            <w:r w:rsidRPr="000D715C">
              <w:rPr>
                <w:rFonts w:ascii="Times New Roman" w:hAnsi="Times New Roman"/>
                <w:sz w:val="24"/>
              </w:rPr>
              <w:t>esposizione al rischio del gruppo.</w:t>
            </w:r>
          </w:p>
        </w:tc>
      </w:tr>
      <w:tr w:rsidR="00C85971" w:rsidRPr="000D715C" w14:paraId="02976C44" w14:textId="77777777" w:rsidTr="00D819DE">
        <w:tc>
          <w:tcPr>
            <w:tcW w:w="1172" w:type="dxa"/>
            <w:vAlign w:val="center"/>
          </w:tcPr>
          <w:p w14:paraId="6F3C24E0"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61</w:t>
            </w:r>
          </w:p>
        </w:tc>
        <w:tc>
          <w:tcPr>
            <w:tcW w:w="7242" w:type="dxa"/>
            <w:vAlign w:val="center"/>
          </w:tcPr>
          <w:p w14:paraId="715F9398"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Capitale primario di classe 1</w:t>
            </w:r>
          </w:p>
          <w:p w14:paraId="7AAE0F8C" w14:textId="63C074AF"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Capitale primario di classe 1 (in percentuale dell</w:t>
            </w:r>
            <w:r w:rsidR="005424B9" w:rsidRPr="000D715C">
              <w:rPr>
                <w:rFonts w:ascii="Times New Roman" w:hAnsi="Times New Roman"/>
                <w:sz w:val="24"/>
              </w:rPr>
              <w:t>'</w:t>
            </w:r>
            <w:r w:rsidRPr="000D715C">
              <w:rPr>
                <w:rFonts w:ascii="Times New Roman" w:hAnsi="Times New Roman"/>
                <w:sz w:val="24"/>
              </w:rPr>
              <w:t>importo complessivo dell</w:t>
            </w:r>
            <w:r w:rsidR="005424B9" w:rsidRPr="000D715C">
              <w:rPr>
                <w:rFonts w:ascii="Times New Roman" w:hAnsi="Times New Roman"/>
                <w:sz w:val="24"/>
              </w:rPr>
              <w:t>'</w:t>
            </w:r>
            <w:r w:rsidRPr="000D715C">
              <w:rPr>
                <w:rFonts w:ascii="Times New Roman" w:hAnsi="Times New Roman"/>
                <w:sz w:val="24"/>
              </w:rPr>
              <w:t>esposizione al rischio), da calcolarsi come la riga 29 divisa per la riga</w:t>
            </w:r>
            <w:r w:rsidR="000D715C" w:rsidRPr="000D715C">
              <w:rPr>
                <w:rFonts w:ascii="Times New Roman" w:hAnsi="Times New Roman"/>
                <w:sz w:val="24"/>
              </w:rPr>
              <w:t> </w:t>
            </w:r>
            <w:r w:rsidRPr="000D715C">
              <w:rPr>
                <w:rFonts w:ascii="Times New Roman" w:hAnsi="Times New Roman"/>
                <w:sz w:val="24"/>
              </w:rPr>
              <w:t>60 (in percentuale) di questo modello, conformemente all</w:t>
            </w:r>
            <w:r w:rsidR="005424B9" w:rsidRPr="000D715C">
              <w:rPr>
                <w:rFonts w:ascii="Times New Roman" w:hAnsi="Times New Roman"/>
                <w:sz w:val="24"/>
              </w:rPr>
              <w:t>'</w:t>
            </w:r>
            <w:r w:rsidRPr="000D715C">
              <w:rPr>
                <w:rFonts w:ascii="Times New Roman" w:hAnsi="Times New Roman"/>
                <w:sz w:val="24"/>
              </w:rPr>
              <w:t>articolo</w:t>
            </w:r>
            <w:r w:rsidR="005424B9" w:rsidRPr="000D715C">
              <w:rPr>
                <w:rFonts w:ascii="Times New Roman" w:hAnsi="Times New Roman"/>
                <w:sz w:val="24"/>
              </w:rPr>
              <w:t> </w:t>
            </w:r>
            <w:r w:rsidRPr="000D715C">
              <w:rPr>
                <w:rFonts w:ascii="Times New Roman" w:hAnsi="Times New Roman"/>
                <w:sz w:val="24"/>
              </w:rPr>
              <w:t>92, paragrafo 2, lettera a), del CRR.</w:t>
            </w:r>
          </w:p>
        </w:tc>
      </w:tr>
      <w:tr w:rsidR="00C85971" w:rsidRPr="000D715C" w14:paraId="5CE7D564" w14:textId="77777777" w:rsidTr="00D819DE">
        <w:tc>
          <w:tcPr>
            <w:tcW w:w="1172" w:type="dxa"/>
            <w:vAlign w:val="center"/>
          </w:tcPr>
          <w:p w14:paraId="062130AB"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62</w:t>
            </w:r>
          </w:p>
        </w:tc>
        <w:tc>
          <w:tcPr>
            <w:tcW w:w="7242" w:type="dxa"/>
            <w:vAlign w:val="center"/>
          </w:tcPr>
          <w:p w14:paraId="4254B9EF" w14:textId="77777777" w:rsidR="00C85971" w:rsidRPr="000D715C" w:rsidRDefault="00C85971" w:rsidP="00D819DE">
            <w:pPr>
              <w:spacing w:after="200"/>
              <w:jc w:val="both"/>
              <w:rPr>
                <w:rFonts w:ascii="Times New Roman" w:hAnsi="Times New Roman" w:cs="Times New Roman"/>
                <w:spacing w:val="-4"/>
                <w:sz w:val="24"/>
              </w:rPr>
            </w:pPr>
            <w:r w:rsidRPr="000D715C">
              <w:rPr>
                <w:rFonts w:ascii="Times New Roman" w:hAnsi="Times New Roman"/>
                <w:spacing w:val="-4"/>
                <w:sz w:val="24"/>
              </w:rPr>
              <w:t>Capitale di classe 1</w:t>
            </w:r>
          </w:p>
          <w:p w14:paraId="476DDDEE" w14:textId="3B71F191" w:rsidR="00C85971" w:rsidRPr="000D715C" w:rsidRDefault="00C85971" w:rsidP="00D819DE">
            <w:pPr>
              <w:spacing w:after="200"/>
              <w:jc w:val="both"/>
              <w:rPr>
                <w:rFonts w:ascii="Times New Roman" w:hAnsi="Times New Roman" w:cs="Times New Roman"/>
                <w:spacing w:val="-4"/>
                <w:sz w:val="24"/>
              </w:rPr>
            </w:pPr>
            <w:r w:rsidRPr="000D715C">
              <w:rPr>
                <w:rFonts w:ascii="Times New Roman" w:hAnsi="Times New Roman"/>
                <w:spacing w:val="-4"/>
                <w:sz w:val="24"/>
              </w:rPr>
              <w:t>Capitale di classe 1 (in percentuale dell</w:t>
            </w:r>
            <w:r w:rsidR="005424B9" w:rsidRPr="000D715C">
              <w:rPr>
                <w:rFonts w:ascii="Times New Roman" w:hAnsi="Times New Roman"/>
                <w:spacing w:val="-4"/>
                <w:sz w:val="24"/>
              </w:rPr>
              <w:t>'</w:t>
            </w:r>
            <w:r w:rsidRPr="000D715C">
              <w:rPr>
                <w:rFonts w:ascii="Times New Roman" w:hAnsi="Times New Roman"/>
                <w:spacing w:val="-4"/>
                <w:sz w:val="24"/>
              </w:rPr>
              <w:t>importo complessivo dell</w:t>
            </w:r>
            <w:r w:rsidR="005424B9" w:rsidRPr="000D715C">
              <w:rPr>
                <w:rFonts w:ascii="Times New Roman" w:hAnsi="Times New Roman"/>
                <w:spacing w:val="-4"/>
                <w:sz w:val="24"/>
              </w:rPr>
              <w:t>'</w:t>
            </w:r>
            <w:r w:rsidRPr="000D715C">
              <w:rPr>
                <w:rFonts w:ascii="Times New Roman" w:hAnsi="Times New Roman"/>
                <w:spacing w:val="-4"/>
                <w:sz w:val="24"/>
              </w:rPr>
              <w:t>esposizione al rischio), da calcolarsi come la riga 45 divisa per la riga</w:t>
            </w:r>
            <w:r w:rsidR="000D715C" w:rsidRPr="000D715C">
              <w:rPr>
                <w:rFonts w:ascii="Times New Roman" w:hAnsi="Times New Roman"/>
                <w:spacing w:val="-4"/>
                <w:sz w:val="24"/>
              </w:rPr>
              <w:t> </w:t>
            </w:r>
            <w:r w:rsidRPr="000D715C">
              <w:rPr>
                <w:rFonts w:ascii="Times New Roman" w:hAnsi="Times New Roman"/>
                <w:spacing w:val="-4"/>
                <w:sz w:val="24"/>
              </w:rPr>
              <w:t>60 (in percentuale) di questo modello, conformemente all</w:t>
            </w:r>
            <w:r w:rsidR="005424B9" w:rsidRPr="000D715C">
              <w:rPr>
                <w:rFonts w:ascii="Times New Roman" w:hAnsi="Times New Roman"/>
                <w:spacing w:val="-4"/>
                <w:sz w:val="24"/>
              </w:rPr>
              <w:t>'</w:t>
            </w:r>
            <w:r w:rsidRPr="000D715C">
              <w:rPr>
                <w:rFonts w:ascii="Times New Roman" w:hAnsi="Times New Roman"/>
                <w:spacing w:val="-4"/>
                <w:sz w:val="24"/>
              </w:rPr>
              <w:t>articolo</w:t>
            </w:r>
            <w:r w:rsidR="005424B9" w:rsidRPr="000D715C">
              <w:rPr>
                <w:rFonts w:ascii="Times New Roman" w:hAnsi="Times New Roman"/>
                <w:spacing w:val="-4"/>
                <w:sz w:val="24"/>
              </w:rPr>
              <w:t> </w:t>
            </w:r>
            <w:r w:rsidRPr="000D715C">
              <w:rPr>
                <w:rFonts w:ascii="Times New Roman" w:hAnsi="Times New Roman"/>
                <w:spacing w:val="-4"/>
                <w:sz w:val="24"/>
              </w:rPr>
              <w:t>92, paragrafo 2, lettera b), del CRR.</w:t>
            </w:r>
          </w:p>
        </w:tc>
      </w:tr>
      <w:tr w:rsidR="00C85971" w:rsidRPr="000D715C" w14:paraId="1127C16A" w14:textId="77777777" w:rsidTr="00D819DE">
        <w:tc>
          <w:tcPr>
            <w:tcW w:w="1172" w:type="dxa"/>
            <w:vAlign w:val="center"/>
          </w:tcPr>
          <w:p w14:paraId="44F246AD" w14:textId="77777777" w:rsidR="00C85971" w:rsidRPr="000D715C" w:rsidRDefault="00C85971" w:rsidP="000D715C">
            <w:pPr>
              <w:keepNext/>
              <w:keepLines/>
              <w:spacing w:after="200"/>
              <w:rPr>
                <w:rFonts w:ascii="Times New Roman" w:hAnsi="Times New Roman" w:cs="Times New Roman"/>
                <w:sz w:val="24"/>
              </w:rPr>
            </w:pPr>
            <w:r w:rsidRPr="000D715C">
              <w:rPr>
                <w:rFonts w:ascii="Times New Roman" w:hAnsi="Times New Roman"/>
                <w:sz w:val="24"/>
              </w:rPr>
              <w:t>63</w:t>
            </w:r>
          </w:p>
        </w:tc>
        <w:tc>
          <w:tcPr>
            <w:tcW w:w="7242" w:type="dxa"/>
            <w:vAlign w:val="center"/>
          </w:tcPr>
          <w:p w14:paraId="1D8E4386" w14:textId="77777777" w:rsidR="00C85971" w:rsidRPr="000D715C" w:rsidRDefault="00C85971" w:rsidP="000D715C">
            <w:pPr>
              <w:keepNext/>
              <w:keepLines/>
              <w:spacing w:after="200"/>
              <w:jc w:val="both"/>
              <w:rPr>
                <w:rFonts w:ascii="Times New Roman" w:hAnsi="Times New Roman" w:cs="Times New Roman"/>
                <w:sz w:val="24"/>
              </w:rPr>
            </w:pPr>
            <w:r w:rsidRPr="000D715C">
              <w:rPr>
                <w:rFonts w:ascii="Times New Roman" w:hAnsi="Times New Roman"/>
                <w:sz w:val="24"/>
              </w:rPr>
              <w:t>Capitale totale</w:t>
            </w:r>
          </w:p>
          <w:p w14:paraId="75C13C00" w14:textId="1F7890F0" w:rsidR="00C85971" w:rsidRPr="000D715C" w:rsidRDefault="00C85971" w:rsidP="000D715C">
            <w:pPr>
              <w:keepNext/>
              <w:keepLines/>
              <w:spacing w:after="200"/>
              <w:jc w:val="both"/>
              <w:rPr>
                <w:rFonts w:ascii="Times New Roman" w:hAnsi="Times New Roman" w:cs="Times New Roman"/>
                <w:spacing w:val="-2"/>
                <w:sz w:val="24"/>
              </w:rPr>
            </w:pPr>
            <w:r w:rsidRPr="000D715C">
              <w:rPr>
                <w:rFonts w:ascii="Times New Roman" w:hAnsi="Times New Roman"/>
                <w:spacing w:val="-2"/>
                <w:sz w:val="24"/>
              </w:rPr>
              <w:t>Capitale totale (in percentuale dell</w:t>
            </w:r>
            <w:r w:rsidR="005424B9" w:rsidRPr="000D715C">
              <w:rPr>
                <w:rFonts w:ascii="Times New Roman" w:hAnsi="Times New Roman"/>
                <w:spacing w:val="-2"/>
                <w:sz w:val="24"/>
              </w:rPr>
              <w:t>'</w:t>
            </w:r>
            <w:r w:rsidRPr="000D715C">
              <w:rPr>
                <w:rFonts w:ascii="Times New Roman" w:hAnsi="Times New Roman"/>
                <w:spacing w:val="-2"/>
                <w:sz w:val="24"/>
              </w:rPr>
              <w:t>importo complessivo dell</w:t>
            </w:r>
            <w:r w:rsidR="005424B9" w:rsidRPr="000D715C">
              <w:rPr>
                <w:rFonts w:ascii="Times New Roman" w:hAnsi="Times New Roman"/>
                <w:spacing w:val="-2"/>
                <w:sz w:val="24"/>
              </w:rPr>
              <w:t>'</w:t>
            </w:r>
            <w:r w:rsidRPr="000D715C">
              <w:rPr>
                <w:rFonts w:ascii="Times New Roman" w:hAnsi="Times New Roman"/>
                <w:spacing w:val="-2"/>
                <w:sz w:val="24"/>
              </w:rPr>
              <w:t>esposizione al rischio), da calcolarsi come la riga 59 divisa per la riga 60 (in percentuale) di questo modello, conformemente all</w:t>
            </w:r>
            <w:r w:rsidR="005424B9" w:rsidRPr="000D715C">
              <w:rPr>
                <w:rFonts w:ascii="Times New Roman" w:hAnsi="Times New Roman"/>
                <w:spacing w:val="-2"/>
                <w:sz w:val="24"/>
              </w:rPr>
              <w:t>'</w:t>
            </w:r>
            <w:r w:rsidRPr="000D715C">
              <w:rPr>
                <w:rFonts w:ascii="Times New Roman" w:hAnsi="Times New Roman"/>
                <w:spacing w:val="-2"/>
                <w:sz w:val="24"/>
              </w:rPr>
              <w:t>articolo 92, paragrafo 2, lettera c), del CRR.</w:t>
            </w:r>
          </w:p>
        </w:tc>
      </w:tr>
      <w:tr w:rsidR="00C85971" w:rsidRPr="000D715C" w14:paraId="425E6610" w14:textId="77777777" w:rsidTr="00D819DE">
        <w:tc>
          <w:tcPr>
            <w:tcW w:w="1172" w:type="dxa"/>
            <w:vAlign w:val="center"/>
          </w:tcPr>
          <w:p w14:paraId="3D33CB43"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64</w:t>
            </w:r>
          </w:p>
        </w:tc>
        <w:tc>
          <w:tcPr>
            <w:tcW w:w="7242" w:type="dxa"/>
            <w:vAlign w:val="center"/>
          </w:tcPr>
          <w:p w14:paraId="07099552" w14:textId="5DB595AB"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Requisiti patrimoniali complessivi relativi al capitale CET1 dell</w:t>
            </w:r>
            <w:r w:rsidR="005424B9" w:rsidRPr="000D715C">
              <w:rPr>
                <w:rFonts w:ascii="Times New Roman" w:hAnsi="Times New Roman"/>
                <w:sz w:val="24"/>
              </w:rPr>
              <w:t>'</w:t>
            </w:r>
            <w:r w:rsidRPr="000D715C">
              <w:rPr>
                <w:rFonts w:ascii="Times New Roman" w:hAnsi="Times New Roman"/>
                <w:sz w:val="24"/>
              </w:rPr>
              <w:t xml:space="preserve">ente </w:t>
            </w:r>
          </w:p>
          <w:p w14:paraId="15B22550" w14:textId="0C705D12"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 requisiti patrimoniali complessivi relativi al capitale CET1 dell</w:t>
            </w:r>
            <w:r w:rsidR="005424B9" w:rsidRPr="000D715C">
              <w:rPr>
                <w:rFonts w:ascii="Times New Roman" w:hAnsi="Times New Roman"/>
                <w:sz w:val="24"/>
              </w:rPr>
              <w:t>'</w:t>
            </w:r>
            <w:r w:rsidRPr="000D715C">
              <w:rPr>
                <w:rFonts w:ascii="Times New Roman" w:hAnsi="Times New Roman"/>
                <w:sz w:val="24"/>
              </w:rPr>
              <w:t>ente sono calcolati come il requisito relativo al capitale CET1, conformemente all</w:t>
            </w:r>
            <w:r w:rsidR="005424B9" w:rsidRPr="000D715C">
              <w:rPr>
                <w:rFonts w:ascii="Times New Roman" w:hAnsi="Times New Roman"/>
                <w:sz w:val="24"/>
              </w:rPr>
              <w:t>'</w:t>
            </w:r>
            <w:r w:rsidRPr="000D715C">
              <w:rPr>
                <w:rFonts w:ascii="Times New Roman" w:hAnsi="Times New Roman"/>
                <w:sz w:val="24"/>
              </w:rPr>
              <w:t>articolo 92, paragrafo 1, lettera a), del CRR, più il requisito relativo al capitale CET1 aggiuntivo che gli enti sono tenuti a detenere a norma dell</w:t>
            </w:r>
            <w:r w:rsidR="005424B9" w:rsidRPr="000D715C">
              <w:rPr>
                <w:rFonts w:ascii="Times New Roman" w:hAnsi="Times New Roman"/>
                <w:sz w:val="24"/>
              </w:rPr>
              <w:t>'</w:t>
            </w:r>
            <w:r w:rsidRPr="000D715C">
              <w:rPr>
                <w:rFonts w:ascii="Times New Roman" w:hAnsi="Times New Roman"/>
                <w:sz w:val="24"/>
              </w:rPr>
              <w:t>articolo</w:t>
            </w:r>
            <w:r w:rsidR="005424B9" w:rsidRPr="000D715C">
              <w:rPr>
                <w:rFonts w:ascii="Times New Roman" w:hAnsi="Times New Roman"/>
                <w:sz w:val="24"/>
              </w:rPr>
              <w:t> </w:t>
            </w:r>
            <w:r w:rsidRPr="000D715C">
              <w:rPr>
                <w:rFonts w:ascii="Times New Roman" w:hAnsi="Times New Roman"/>
                <w:sz w:val="24"/>
              </w:rPr>
              <w:t>104, paragrafo</w:t>
            </w:r>
            <w:r w:rsidR="005424B9" w:rsidRPr="000D715C">
              <w:rPr>
                <w:rFonts w:ascii="Times New Roman" w:hAnsi="Times New Roman"/>
                <w:sz w:val="24"/>
              </w:rPr>
              <w:t> </w:t>
            </w:r>
            <w:r w:rsidRPr="000D715C">
              <w:rPr>
                <w:rFonts w:ascii="Times New Roman" w:hAnsi="Times New Roman"/>
                <w:sz w:val="24"/>
              </w:rPr>
              <w:t>1, lettera</w:t>
            </w:r>
            <w:r w:rsidR="005424B9" w:rsidRPr="000D715C">
              <w:rPr>
                <w:rFonts w:ascii="Times New Roman" w:hAnsi="Times New Roman"/>
                <w:sz w:val="24"/>
              </w:rPr>
              <w:t> </w:t>
            </w:r>
            <w:r w:rsidRPr="000D715C">
              <w:rPr>
                <w:rFonts w:ascii="Times New Roman" w:hAnsi="Times New Roman"/>
                <w:sz w:val="24"/>
              </w:rPr>
              <w:t>a), della direttiva 2013/36/UE (</w:t>
            </w:r>
            <w:r w:rsidR="005424B9" w:rsidRPr="000D715C">
              <w:rPr>
                <w:rFonts w:ascii="Times New Roman" w:hAnsi="Times New Roman"/>
                <w:sz w:val="24"/>
              </w:rPr>
              <w:t>"</w:t>
            </w:r>
            <w:r w:rsidRPr="000D715C">
              <w:rPr>
                <w:rFonts w:ascii="Times New Roman" w:hAnsi="Times New Roman"/>
                <w:sz w:val="24"/>
              </w:rPr>
              <w:t>CRD</w:t>
            </w:r>
            <w:r w:rsidR="005424B9" w:rsidRPr="000D715C">
              <w:rPr>
                <w:rFonts w:ascii="Times New Roman" w:hAnsi="Times New Roman"/>
                <w:sz w:val="24"/>
              </w:rPr>
              <w:t>"</w:t>
            </w:r>
            <w:r w:rsidRPr="000D715C">
              <w:rPr>
                <w:rFonts w:ascii="Times New Roman" w:hAnsi="Times New Roman"/>
                <w:sz w:val="24"/>
              </w:rPr>
              <w:t>)</w:t>
            </w:r>
            <w:r w:rsidRPr="000D715C">
              <w:rPr>
                <w:rStyle w:val="FootnoteReference"/>
                <w:rFonts w:cs="Times New Roman"/>
                <w:lang w:eastAsia="ja-JP"/>
              </w:rPr>
              <w:footnoteReference w:id="2"/>
            </w:r>
            <w:r w:rsidRPr="000D715C">
              <w:rPr>
                <w:rFonts w:ascii="Times New Roman" w:hAnsi="Times New Roman"/>
                <w:sz w:val="24"/>
              </w:rPr>
              <w:t>, più il requisito combinato di riserva di capitale, conformemente all</w:t>
            </w:r>
            <w:r w:rsidR="005424B9" w:rsidRPr="000D715C">
              <w:rPr>
                <w:rFonts w:ascii="Times New Roman" w:hAnsi="Times New Roman"/>
                <w:sz w:val="24"/>
              </w:rPr>
              <w:t>'</w:t>
            </w:r>
            <w:r w:rsidRPr="000D715C">
              <w:rPr>
                <w:rFonts w:ascii="Times New Roman" w:hAnsi="Times New Roman"/>
                <w:sz w:val="24"/>
              </w:rPr>
              <w:t>articolo</w:t>
            </w:r>
            <w:r w:rsidR="005424B9" w:rsidRPr="000D715C">
              <w:rPr>
                <w:rFonts w:ascii="Times New Roman" w:hAnsi="Times New Roman"/>
                <w:sz w:val="24"/>
              </w:rPr>
              <w:t> </w:t>
            </w:r>
            <w:r w:rsidRPr="000D715C">
              <w:rPr>
                <w:rFonts w:ascii="Times New Roman" w:hAnsi="Times New Roman"/>
                <w:sz w:val="24"/>
              </w:rPr>
              <w:t>128, paragrafo</w:t>
            </w:r>
            <w:r w:rsidR="005424B9" w:rsidRPr="000D715C">
              <w:rPr>
                <w:rFonts w:ascii="Times New Roman" w:hAnsi="Times New Roman"/>
                <w:sz w:val="24"/>
              </w:rPr>
              <w:t> </w:t>
            </w:r>
            <w:r w:rsidRPr="000D715C">
              <w:rPr>
                <w:rFonts w:ascii="Times New Roman" w:hAnsi="Times New Roman"/>
                <w:sz w:val="24"/>
              </w:rPr>
              <w:t>6, della CRD, espresso in percentuale dell</w:t>
            </w:r>
            <w:r w:rsidR="005424B9" w:rsidRPr="000D715C">
              <w:rPr>
                <w:rFonts w:ascii="Times New Roman" w:hAnsi="Times New Roman"/>
                <w:sz w:val="24"/>
              </w:rPr>
              <w:t>'</w:t>
            </w:r>
            <w:r w:rsidRPr="000D715C">
              <w:rPr>
                <w:rFonts w:ascii="Times New Roman" w:hAnsi="Times New Roman"/>
                <w:sz w:val="24"/>
              </w:rPr>
              <w:t>importo dell</w:t>
            </w:r>
            <w:r w:rsidR="005424B9" w:rsidRPr="000D715C">
              <w:rPr>
                <w:rFonts w:ascii="Times New Roman" w:hAnsi="Times New Roman"/>
                <w:sz w:val="24"/>
              </w:rPr>
              <w:t>'</w:t>
            </w:r>
            <w:r w:rsidRPr="000D715C">
              <w:rPr>
                <w:rFonts w:ascii="Times New Roman" w:hAnsi="Times New Roman"/>
                <w:sz w:val="24"/>
              </w:rPr>
              <w:t>esposizione al rischio.</w:t>
            </w:r>
          </w:p>
          <w:p w14:paraId="6E4E1C37" w14:textId="5AC71EE4"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Da calcolare come il 4,5 % più i requisiti aggiuntivi del pilastro 2 che gli enti sono tenuti a detenere a norma dell</w:t>
            </w:r>
            <w:r w:rsidR="005424B9" w:rsidRPr="000D715C">
              <w:rPr>
                <w:rFonts w:ascii="Times New Roman" w:hAnsi="Times New Roman"/>
                <w:sz w:val="24"/>
              </w:rPr>
              <w:t>'</w:t>
            </w:r>
            <w:r w:rsidRPr="000D715C">
              <w:rPr>
                <w:rFonts w:ascii="Times New Roman" w:hAnsi="Times New Roman"/>
                <w:sz w:val="24"/>
              </w:rPr>
              <w:t>articolo</w:t>
            </w:r>
            <w:r w:rsidR="005424B9" w:rsidRPr="000D715C">
              <w:rPr>
                <w:rFonts w:ascii="Times New Roman" w:hAnsi="Times New Roman"/>
                <w:sz w:val="24"/>
              </w:rPr>
              <w:t> </w:t>
            </w:r>
            <w:r w:rsidRPr="000D715C">
              <w:rPr>
                <w:rFonts w:ascii="Times New Roman" w:hAnsi="Times New Roman"/>
                <w:sz w:val="24"/>
              </w:rPr>
              <w:t>104, paragrafo</w:t>
            </w:r>
            <w:r w:rsidR="005424B9" w:rsidRPr="000D715C">
              <w:rPr>
                <w:rFonts w:ascii="Times New Roman" w:hAnsi="Times New Roman"/>
                <w:sz w:val="24"/>
              </w:rPr>
              <w:t> </w:t>
            </w:r>
            <w:r w:rsidRPr="000D715C">
              <w:rPr>
                <w:rFonts w:ascii="Times New Roman" w:hAnsi="Times New Roman"/>
                <w:sz w:val="24"/>
              </w:rPr>
              <w:t>1, lettera</w:t>
            </w:r>
            <w:r w:rsidR="005424B9" w:rsidRPr="000D715C">
              <w:rPr>
                <w:rFonts w:ascii="Times New Roman" w:hAnsi="Times New Roman"/>
                <w:sz w:val="24"/>
              </w:rPr>
              <w:t> </w:t>
            </w:r>
            <w:r w:rsidRPr="000D715C">
              <w:rPr>
                <w:rFonts w:ascii="Times New Roman" w:hAnsi="Times New Roman"/>
                <w:sz w:val="24"/>
              </w:rPr>
              <w:t>a), della CRD</w:t>
            </w:r>
            <w:r w:rsidRPr="000D715C">
              <w:rPr>
                <w:rFonts w:ascii="Times New Roman" w:hAnsi="Times New Roman"/>
                <w:color w:val="FF0000"/>
                <w:sz w:val="24"/>
              </w:rPr>
              <w:t>,</w:t>
            </w:r>
            <w:r w:rsidRPr="000D715C">
              <w:rPr>
                <w:rFonts w:ascii="Times New Roman" w:hAnsi="Times New Roman"/>
                <w:sz w:val="24"/>
              </w:rPr>
              <w:t xml:space="preserve"> più il requisito combinato di riserva di capitale calcolato conformemente agli articoli 128, 129, 130, 131 e 133 della CRD. </w:t>
            </w:r>
          </w:p>
          <w:p w14:paraId="459D65FD"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 xml:space="preserve">Questa riga indicherà il coefficiente CET1 pertinente per la valutazione dei vincoli sulle distribuzioni. </w:t>
            </w:r>
          </w:p>
        </w:tc>
      </w:tr>
      <w:tr w:rsidR="00C85971" w:rsidRPr="000D715C" w14:paraId="3545FB20" w14:textId="77777777" w:rsidTr="00D819DE">
        <w:tc>
          <w:tcPr>
            <w:tcW w:w="1172" w:type="dxa"/>
            <w:vAlign w:val="center"/>
          </w:tcPr>
          <w:p w14:paraId="3A7E54C5" w14:textId="77777777" w:rsidR="00C85971" w:rsidRPr="000D715C" w:rsidRDefault="00C85971" w:rsidP="000D715C">
            <w:pPr>
              <w:keepNext/>
              <w:keepLines/>
              <w:spacing w:after="200"/>
              <w:rPr>
                <w:rFonts w:ascii="Times New Roman" w:hAnsi="Times New Roman" w:cs="Times New Roman"/>
                <w:sz w:val="24"/>
              </w:rPr>
            </w:pPr>
            <w:r w:rsidRPr="000D715C">
              <w:rPr>
                <w:rFonts w:ascii="Times New Roman" w:hAnsi="Times New Roman"/>
                <w:sz w:val="24"/>
              </w:rPr>
              <w:lastRenderedPageBreak/>
              <w:t>65</w:t>
            </w:r>
          </w:p>
        </w:tc>
        <w:tc>
          <w:tcPr>
            <w:tcW w:w="7242" w:type="dxa"/>
            <w:vAlign w:val="center"/>
          </w:tcPr>
          <w:p w14:paraId="1B86E50E" w14:textId="77777777" w:rsidR="00C85971" w:rsidRPr="000D715C" w:rsidRDefault="00C85971" w:rsidP="000D715C">
            <w:pPr>
              <w:keepNext/>
              <w:keepLines/>
              <w:spacing w:after="200"/>
              <w:jc w:val="both"/>
              <w:rPr>
                <w:rFonts w:ascii="Times New Roman" w:hAnsi="Times New Roman" w:cs="Times New Roman"/>
                <w:sz w:val="24"/>
              </w:rPr>
            </w:pPr>
            <w:r w:rsidRPr="000D715C">
              <w:rPr>
                <w:rFonts w:ascii="Times New Roman" w:hAnsi="Times New Roman"/>
                <w:sz w:val="24"/>
              </w:rPr>
              <w:t>Di cui requisito della riserva di conservazione del capitale</w:t>
            </w:r>
          </w:p>
          <w:p w14:paraId="210E1B9C" w14:textId="171CD22D" w:rsidR="00C85971" w:rsidRPr="000D715C" w:rsidRDefault="00C85971" w:rsidP="000D715C">
            <w:pPr>
              <w:keepNext/>
              <w:keepLines/>
              <w:spacing w:after="200"/>
              <w:jc w:val="both"/>
              <w:rPr>
                <w:rFonts w:ascii="Times New Roman" w:hAnsi="Times New Roman" w:cs="Times New Roman"/>
                <w:sz w:val="24"/>
              </w:rPr>
            </w:pPr>
            <w:r w:rsidRPr="000D715C">
              <w:rPr>
                <w:rFonts w:ascii="Times New Roman" w:hAnsi="Times New Roman"/>
                <w:sz w:val="24"/>
              </w:rPr>
              <w:t>L</w:t>
            </w:r>
            <w:r w:rsidR="005424B9" w:rsidRPr="000D715C">
              <w:rPr>
                <w:rFonts w:ascii="Times New Roman" w:hAnsi="Times New Roman"/>
                <w:sz w:val="24"/>
              </w:rPr>
              <w:t>'</w:t>
            </w:r>
            <w:r w:rsidRPr="000D715C">
              <w:rPr>
                <w:rFonts w:ascii="Times New Roman" w:hAnsi="Times New Roman"/>
                <w:sz w:val="24"/>
              </w:rPr>
              <w:t>importo della riga 64 (espresso in percentuale dell</w:t>
            </w:r>
            <w:r w:rsidR="005424B9" w:rsidRPr="000D715C">
              <w:rPr>
                <w:rFonts w:ascii="Times New Roman" w:hAnsi="Times New Roman"/>
                <w:sz w:val="24"/>
              </w:rPr>
              <w:t>'</w:t>
            </w:r>
            <w:r w:rsidRPr="000D715C">
              <w:rPr>
                <w:rFonts w:ascii="Times New Roman" w:hAnsi="Times New Roman"/>
                <w:sz w:val="24"/>
              </w:rPr>
              <w:t>importo complessivo dell</w:t>
            </w:r>
            <w:r w:rsidR="005424B9" w:rsidRPr="000D715C">
              <w:rPr>
                <w:rFonts w:ascii="Times New Roman" w:hAnsi="Times New Roman"/>
                <w:sz w:val="24"/>
              </w:rPr>
              <w:t>'</w:t>
            </w:r>
            <w:r w:rsidRPr="000D715C">
              <w:rPr>
                <w:rFonts w:ascii="Times New Roman" w:hAnsi="Times New Roman"/>
                <w:sz w:val="24"/>
              </w:rPr>
              <w:t>esposizione al rischio) di questo modello relativo al requisito della riserva di conservazione del capitale, conformemente all</w:t>
            </w:r>
            <w:r w:rsidR="005424B9" w:rsidRPr="000D715C">
              <w:rPr>
                <w:rFonts w:ascii="Times New Roman" w:hAnsi="Times New Roman"/>
                <w:sz w:val="24"/>
              </w:rPr>
              <w:t>'</w:t>
            </w:r>
            <w:r w:rsidRPr="000D715C">
              <w:rPr>
                <w:rFonts w:ascii="Times New Roman" w:hAnsi="Times New Roman"/>
                <w:sz w:val="24"/>
              </w:rPr>
              <w:t>articolo 129 della CRD.</w:t>
            </w:r>
          </w:p>
        </w:tc>
      </w:tr>
      <w:tr w:rsidR="00C85971" w:rsidRPr="000D715C" w14:paraId="0D9440CE" w14:textId="77777777" w:rsidTr="00D819DE">
        <w:tc>
          <w:tcPr>
            <w:tcW w:w="1172" w:type="dxa"/>
            <w:vAlign w:val="center"/>
          </w:tcPr>
          <w:p w14:paraId="58BFD117"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66</w:t>
            </w:r>
          </w:p>
        </w:tc>
        <w:tc>
          <w:tcPr>
            <w:tcW w:w="7242" w:type="dxa"/>
            <w:vAlign w:val="center"/>
          </w:tcPr>
          <w:p w14:paraId="51C550B9"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Di cui requisito della riserva di capitale anticiclica</w:t>
            </w:r>
          </w:p>
          <w:p w14:paraId="19B69C3B" w14:textId="5643AB51"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L</w:t>
            </w:r>
            <w:r w:rsidR="005424B9" w:rsidRPr="000D715C">
              <w:rPr>
                <w:rFonts w:ascii="Times New Roman" w:hAnsi="Times New Roman"/>
                <w:sz w:val="24"/>
              </w:rPr>
              <w:t>'</w:t>
            </w:r>
            <w:r w:rsidRPr="000D715C">
              <w:rPr>
                <w:rFonts w:ascii="Times New Roman" w:hAnsi="Times New Roman"/>
                <w:sz w:val="24"/>
              </w:rPr>
              <w:t>importo della riga 64 (espresso in percentuale dell</w:t>
            </w:r>
            <w:r w:rsidR="005424B9" w:rsidRPr="000D715C">
              <w:rPr>
                <w:rFonts w:ascii="Times New Roman" w:hAnsi="Times New Roman"/>
                <w:sz w:val="24"/>
              </w:rPr>
              <w:t>'</w:t>
            </w:r>
            <w:r w:rsidRPr="000D715C">
              <w:rPr>
                <w:rFonts w:ascii="Times New Roman" w:hAnsi="Times New Roman"/>
                <w:sz w:val="24"/>
              </w:rPr>
              <w:t>importo complessivo dell</w:t>
            </w:r>
            <w:r w:rsidR="005424B9" w:rsidRPr="000D715C">
              <w:rPr>
                <w:rFonts w:ascii="Times New Roman" w:hAnsi="Times New Roman"/>
                <w:sz w:val="24"/>
              </w:rPr>
              <w:t>'</w:t>
            </w:r>
            <w:r w:rsidRPr="000D715C">
              <w:rPr>
                <w:rFonts w:ascii="Times New Roman" w:hAnsi="Times New Roman"/>
                <w:sz w:val="24"/>
              </w:rPr>
              <w:t>esposizione al rischio) di questo modello relativo al requisito della riserva di capitale anticiclica, conformemente all</w:t>
            </w:r>
            <w:r w:rsidR="005424B9" w:rsidRPr="000D715C">
              <w:rPr>
                <w:rFonts w:ascii="Times New Roman" w:hAnsi="Times New Roman"/>
                <w:sz w:val="24"/>
              </w:rPr>
              <w:t>'</w:t>
            </w:r>
            <w:r w:rsidRPr="000D715C">
              <w:rPr>
                <w:rFonts w:ascii="Times New Roman" w:hAnsi="Times New Roman"/>
                <w:sz w:val="24"/>
              </w:rPr>
              <w:t xml:space="preserve">articolo 130 della CRD. </w:t>
            </w:r>
          </w:p>
        </w:tc>
      </w:tr>
      <w:tr w:rsidR="00C85971" w:rsidRPr="000D715C" w14:paraId="6CFBEEA0" w14:textId="77777777" w:rsidTr="00D819DE">
        <w:tc>
          <w:tcPr>
            <w:tcW w:w="1172" w:type="dxa"/>
            <w:vAlign w:val="center"/>
          </w:tcPr>
          <w:p w14:paraId="0B86C940"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67</w:t>
            </w:r>
          </w:p>
        </w:tc>
        <w:tc>
          <w:tcPr>
            <w:tcW w:w="7242" w:type="dxa"/>
            <w:vAlign w:val="center"/>
          </w:tcPr>
          <w:p w14:paraId="4CE34862"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Di cui requisito della riserva a fronte del rischio sistemico</w:t>
            </w:r>
          </w:p>
          <w:p w14:paraId="465CB0EB" w14:textId="3C23D909"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L</w:t>
            </w:r>
            <w:r w:rsidR="005424B9" w:rsidRPr="000D715C">
              <w:rPr>
                <w:rFonts w:ascii="Times New Roman" w:hAnsi="Times New Roman"/>
                <w:sz w:val="24"/>
              </w:rPr>
              <w:t>'</w:t>
            </w:r>
            <w:r w:rsidRPr="000D715C">
              <w:rPr>
                <w:rFonts w:ascii="Times New Roman" w:hAnsi="Times New Roman"/>
                <w:sz w:val="24"/>
              </w:rPr>
              <w:t>importo della riga 64 (espresso in percentuale dell</w:t>
            </w:r>
            <w:r w:rsidR="005424B9" w:rsidRPr="000D715C">
              <w:rPr>
                <w:rFonts w:ascii="Times New Roman" w:hAnsi="Times New Roman"/>
                <w:sz w:val="24"/>
              </w:rPr>
              <w:t>'</w:t>
            </w:r>
            <w:r w:rsidRPr="000D715C">
              <w:rPr>
                <w:rFonts w:ascii="Times New Roman" w:hAnsi="Times New Roman"/>
                <w:sz w:val="24"/>
              </w:rPr>
              <w:t>importo complessivo dell</w:t>
            </w:r>
            <w:r w:rsidR="005424B9" w:rsidRPr="000D715C">
              <w:rPr>
                <w:rFonts w:ascii="Times New Roman" w:hAnsi="Times New Roman"/>
                <w:sz w:val="24"/>
              </w:rPr>
              <w:t>'</w:t>
            </w:r>
            <w:r w:rsidRPr="000D715C">
              <w:rPr>
                <w:rFonts w:ascii="Times New Roman" w:hAnsi="Times New Roman"/>
                <w:sz w:val="24"/>
              </w:rPr>
              <w:t>esposizione al rischio) di questo modello relativo al requisito della riserva a fronte del rischio sistemico, conformemente all</w:t>
            </w:r>
            <w:r w:rsidR="005424B9" w:rsidRPr="000D715C">
              <w:rPr>
                <w:rFonts w:ascii="Times New Roman" w:hAnsi="Times New Roman"/>
                <w:sz w:val="24"/>
              </w:rPr>
              <w:t>'</w:t>
            </w:r>
            <w:r w:rsidRPr="000D715C">
              <w:rPr>
                <w:rFonts w:ascii="Times New Roman" w:hAnsi="Times New Roman"/>
                <w:sz w:val="24"/>
              </w:rPr>
              <w:t>articolo 133 della CRD.</w:t>
            </w:r>
          </w:p>
        </w:tc>
      </w:tr>
      <w:tr w:rsidR="00C85971" w:rsidRPr="000D715C" w14:paraId="410A360E" w14:textId="77777777" w:rsidTr="00D819DE">
        <w:tc>
          <w:tcPr>
            <w:tcW w:w="1172" w:type="dxa"/>
            <w:vAlign w:val="center"/>
          </w:tcPr>
          <w:p w14:paraId="17FE665D"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EU-67a</w:t>
            </w:r>
          </w:p>
        </w:tc>
        <w:tc>
          <w:tcPr>
            <w:tcW w:w="7242" w:type="dxa"/>
            <w:vAlign w:val="center"/>
          </w:tcPr>
          <w:p w14:paraId="15A9C98A"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Di cui requisito della riserva di capitale degli enti a rilevanza sistemica a livello globale (G-SII) o degli altri enti a rilevanza sistemica (O-SII)</w:t>
            </w:r>
          </w:p>
          <w:p w14:paraId="2DA57F1D" w14:textId="68DC49F2"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L</w:t>
            </w:r>
            <w:r w:rsidR="005424B9" w:rsidRPr="000D715C">
              <w:rPr>
                <w:rFonts w:ascii="Times New Roman" w:hAnsi="Times New Roman"/>
                <w:sz w:val="24"/>
              </w:rPr>
              <w:t>'</w:t>
            </w:r>
            <w:r w:rsidRPr="000D715C">
              <w:rPr>
                <w:rFonts w:ascii="Times New Roman" w:hAnsi="Times New Roman"/>
                <w:sz w:val="24"/>
              </w:rPr>
              <w:t>importo della riga 64 (espresso in percentuale dell</w:t>
            </w:r>
            <w:r w:rsidR="005424B9" w:rsidRPr="000D715C">
              <w:rPr>
                <w:rFonts w:ascii="Times New Roman" w:hAnsi="Times New Roman"/>
                <w:sz w:val="24"/>
              </w:rPr>
              <w:t>'</w:t>
            </w:r>
            <w:r w:rsidRPr="000D715C">
              <w:rPr>
                <w:rFonts w:ascii="Times New Roman" w:hAnsi="Times New Roman"/>
                <w:sz w:val="24"/>
              </w:rPr>
              <w:t>importo complessivo dell</w:t>
            </w:r>
            <w:r w:rsidR="005424B9" w:rsidRPr="000D715C">
              <w:rPr>
                <w:rFonts w:ascii="Times New Roman" w:hAnsi="Times New Roman"/>
                <w:sz w:val="24"/>
              </w:rPr>
              <w:t>'</w:t>
            </w:r>
            <w:r w:rsidRPr="000D715C">
              <w:rPr>
                <w:rFonts w:ascii="Times New Roman" w:hAnsi="Times New Roman"/>
                <w:sz w:val="24"/>
              </w:rPr>
              <w:t>esposizione al rischio) di questo modello relativo al requisito della riserva di capitale dei G-SII o degli O-SII, conformemente all</w:t>
            </w:r>
            <w:r w:rsidR="005424B9" w:rsidRPr="000D715C">
              <w:rPr>
                <w:rFonts w:ascii="Times New Roman" w:hAnsi="Times New Roman"/>
                <w:sz w:val="24"/>
              </w:rPr>
              <w:t>'</w:t>
            </w:r>
            <w:r w:rsidRPr="000D715C">
              <w:rPr>
                <w:rFonts w:ascii="Times New Roman" w:hAnsi="Times New Roman"/>
                <w:sz w:val="24"/>
              </w:rPr>
              <w:t>articolo 131 della CRD.</w:t>
            </w:r>
          </w:p>
        </w:tc>
      </w:tr>
      <w:tr w:rsidR="00C85971" w:rsidRPr="000D715C" w14:paraId="6B7DF9D5" w14:textId="77777777" w:rsidTr="00D819DE">
        <w:tc>
          <w:tcPr>
            <w:tcW w:w="1172" w:type="dxa"/>
            <w:vAlign w:val="center"/>
          </w:tcPr>
          <w:p w14:paraId="3FC88B9B"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EU-67b</w:t>
            </w:r>
          </w:p>
        </w:tc>
        <w:tc>
          <w:tcPr>
            <w:tcW w:w="7242" w:type="dxa"/>
            <w:vAlign w:val="center"/>
          </w:tcPr>
          <w:p w14:paraId="0BA08EF5"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 xml:space="preserve">Di cui requisiti aggiuntivi di fondi propri per far fronte a rischi diversi dal rischio di leva finanziaria eccessiva </w:t>
            </w:r>
          </w:p>
          <w:p w14:paraId="2998F1B8" w14:textId="7C50C32B"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L</w:t>
            </w:r>
            <w:r w:rsidR="005424B9" w:rsidRPr="000D715C">
              <w:rPr>
                <w:rFonts w:ascii="Times New Roman" w:hAnsi="Times New Roman"/>
                <w:sz w:val="24"/>
              </w:rPr>
              <w:t>'</w:t>
            </w:r>
            <w:r w:rsidRPr="000D715C">
              <w:rPr>
                <w:rFonts w:ascii="Times New Roman" w:hAnsi="Times New Roman"/>
                <w:sz w:val="24"/>
              </w:rPr>
              <w:t>importo della riga 64 (espresso in percentuale dell</w:t>
            </w:r>
            <w:r w:rsidR="005424B9" w:rsidRPr="000D715C">
              <w:rPr>
                <w:rFonts w:ascii="Times New Roman" w:hAnsi="Times New Roman"/>
                <w:sz w:val="24"/>
              </w:rPr>
              <w:t>'</w:t>
            </w:r>
            <w:r w:rsidRPr="000D715C">
              <w:rPr>
                <w:rFonts w:ascii="Times New Roman" w:hAnsi="Times New Roman"/>
                <w:sz w:val="24"/>
              </w:rPr>
              <w:t>importo complessivo dell</w:t>
            </w:r>
            <w:r w:rsidR="005424B9" w:rsidRPr="000D715C">
              <w:rPr>
                <w:rFonts w:ascii="Times New Roman" w:hAnsi="Times New Roman"/>
                <w:sz w:val="24"/>
              </w:rPr>
              <w:t>'</w:t>
            </w:r>
            <w:r w:rsidRPr="000D715C">
              <w:rPr>
                <w:rFonts w:ascii="Times New Roman" w:hAnsi="Times New Roman"/>
                <w:sz w:val="24"/>
              </w:rPr>
              <w:t>esposizione al rischio) di questo modello relativo ai requisiti aggiuntivi di fondi propri derivanti dal processo di revisione prudenziale, che devono essere soddisfatti dal capitale CET1, di cui all</w:t>
            </w:r>
            <w:r w:rsidR="005424B9" w:rsidRPr="000D715C">
              <w:rPr>
                <w:rFonts w:ascii="Times New Roman" w:hAnsi="Times New Roman"/>
                <w:sz w:val="24"/>
              </w:rPr>
              <w:t>'</w:t>
            </w:r>
            <w:r w:rsidRPr="000D715C">
              <w:rPr>
                <w:rFonts w:ascii="Times New Roman" w:hAnsi="Times New Roman"/>
                <w:sz w:val="24"/>
              </w:rPr>
              <w:t>articolo 104, paragrafo 1, lettera a), della direttiva 2013/36/UE.</w:t>
            </w:r>
          </w:p>
        </w:tc>
      </w:tr>
      <w:tr w:rsidR="00C85971" w:rsidRPr="000D715C" w14:paraId="14443E4F" w14:textId="77777777" w:rsidTr="00D819DE">
        <w:tc>
          <w:tcPr>
            <w:tcW w:w="1172" w:type="dxa"/>
            <w:vAlign w:val="center"/>
          </w:tcPr>
          <w:p w14:paraId="5AE63FFC"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68</w:t>
            </w:r>
          </w:p>
        </w:tc>
        <w:tc>
          <w:tcPr>
            <w:tcW w:w="7242" w:type="dxa"/>
            <w:vAlign w:val="center"/>
          </w:tcPr>
          <w:p w14:paraId="4E319E0F" w14:textId="2F87DF1B"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Capitale primario di classe 1 (in percentuale dell</w:t>
            </w:r>
            <w:r w:rsidR="005424B9" w:rsidRPr="000D715C">
              <w:rPr>
                <w:rFonts w:ascii="Times New Roman" w:hAnsi="Times New Roman"/>
                <w:sz w:val="24"/>
              </w:rPr>
              <w:t>'</w:t>
            </w:r>
            <w:r w:rsidRPr="000D715C">
              <w:rPr>
                <w:rFonts w:ascii="Times New Roman" w:hAnsi="Times New Roman"/>
                <w:sz w:val="24"/>
              </w:rPr>
              <w:t>importo dell</w:t>
            </w:r>
            <w:r w:rsidR="005424B9" w:rsidRPr="000D715C">
              <w:rPr>
                <w:rFonts w:ascii="Times New Roman" w:hAnsi="Times New Roman"/>
                <w:sz w:val="24"/>
              </w:rPr>
              <w:t>'</w:t>
            </w:r>
            <w:r w:rsidRPr="000D715C">
              <w:rPr>
                <w:rFonts w:ascii="Times New Roman" w:hAnsi="Times New Roman"/>
                <w:sz w:val="24"/>
              </w:rPr>
              <w:t>esposizione al rischio) disponibile dopo aver soddisfatto i requisiti patrimoniali minimi</w:t>
            </w:r>
          </w:p>
          <w:p w14:paraId="6089746C" w14:textId="4348AE81"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Da calcolarsi come la riga 61 meno 4,5 (punti percentuali), meno EU-67b, meno il capitale primario di classe 1 utilizzato dall</w:t>
            </w:r>
            <w:r w:rsidR="005424B9" w:rsidRPr="000D715C">
              <w:rPr>
                <w:rFonts w:ascii="Times New Roman" w:hAnsi="Times New Roman"/>
                <w:sz w:val="24"/>
              </w:rPr>
              <w:t>'</w:t>
            </w:r>
            <w:r w:rsidRPr="000D715C">
              <w:rPr>
                <w:rFonts w:ascii="Times New Roman" w:hAnsi="Times New Roman"/>
                <w:sz w:val="24"/>
              </w:rPr>
              <w:t>ente per soddisfare i requisiti di capitale aggiuntivo di classe 1 e di capitale di classe 2.</w:t>
            </w:r>
          </w:p>
        </w:tc>
      </w:tr>
      <w:tr w:rsidR="00C85971" w:rsidRPr="000D715C" w14:paraId="7FF2039B" w14:textId="77777777" w:rsidTr="00D819DE">
        <w:tc>
          <w:tcPr>
            <w:tcW w:w="1172" w:type="dxa"/>
            <w:vAlign w:val="center"/>
          </w:tcPr>
          <w:p w14:paraId="191725D5" w14:textId="77777777" w:rsidR="00C85971" w:rsidRPr="000D715C" w:rsidDel="007266C2" w:rsidRDefault="00C85971" w:rsidP="00D819DE">
            <w:pPr>
              <w:spacing w:after="200"/>
              <w:rPr>
                <w:rFonts w:ascii="Times New Roman" w:hAnsi="Times New Roman" w:cs="Times New Roman"/>
                <w:sz w:val="24"/>
              </w:rPr>
            </w:pPr>
            <w:r w:rsidRPr="000D715C">
              <w:rPr>
                <w:rFonts w:ascii="Times New Roman" w:hAnsi="Times New Roman"/>
                <w:sz w:val="24"/>
              </w:rPr>
              <w:t>69</w:t>
            </w:r>
          </w:p>
        </w:tc>
        <w:tc>
          <w:tcPr>
            <w:tcW w:w="7242" w:type="dxa"/>
            <w:vAlign w:val="center"/>
          </w:tcPr>
          <w:p w14:paraId="28131AA5"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Non applicabile</w:t>
            </w:r>
          </w:p>
        </w:tc>
      </w:tr>
      <w:tr w:rsidR="00C85971" w:rsidRPr="000D715C" w14:paraId="2EA16280" w14:textId="77777777" w:rsidTr="00D819DE">
        <w:tc>
          <w:tcPr>
            <w:tcW w:w="1172" w:type="dxa"/>
            <w:vAlign w:val="center"/>
          </w:tcPr>
          <w:p w14:paraId="02813F15" w14:textId="77777777" w:rsidR="00C85971" w:rsidRPr="000D715C" w:rsidDel="007266C2" w:rsidRDefault="00C85971" w:rsidP="00D819DE">
            <w:pPr>
              <w:spacing w:after="200"/>
              <w:rPr>
                <w:rFonts w:ascii="Times New Roman" w:hAnsi="Times New Roman" w:cs="Times New Roman"/>
                <w:sz w:val="24"/>
              </w:rPr>
            </w:pPr>
            <w:r w:rsidRPr="000D715C">
              <w:rPr>
                <w:rFonts w:ascii="Times New Roman" w:hAnsi="Times New Roman"/>
                <w:sz w:val="24"/>
              </w:rPr>
              <w:t>70</w:t>
            </w:r>
          </w:p>
        </w:tc>
        <w:tc>
          <w:tcPr>
            <w:tcW w:w="7242" w:type="dxa"/>
            <w:vAlign w:val="center"/>
          </w:tcPr>
          <w:p w14:paraId="335DC027"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Non applicabile</w:t>
            </w:r>
          </w:p>
        </w:tc>
      </w:tr>
      <w:tr w:rsidR="00C85971" w:rsidRPr="000D715C" w14:paraId="03C8281B" w14:textId="77777777" w:rsidTr="00D819DE">
        <w:tc>
          <w:tcPr>
            <w:tcW w:w="1172" w:type="dxa"/>
            <w:vAlign w:val="center"/>
          </w:tcPr>
          <w:p w14:paraId="004C9A2D" w14:textId="77777777" w:rsidR="00C85971" w:rsidRPr="000D715C" w:rsidDel="007266C2" w:rsidRDefault="00C85971" w:rsidP="00D819DE">
            <w:pPr>
              <w:spacing w:after="200"/>
              <w:rPr>
                <w:rFonts w:ascii="Times New Roman" w:hAnsi="Times New Roman" w:cs="Times New Roman"/>
                <w:sz w:val="24"/>
              </w:rPr>
            </w:pPr>
            <w:r w:rsidRPr="000D715C">
              <w:rPr>
                <w:rFonts w:ascii="Times New Roman" w:hAnsi="Times New Roman"/>
                <w:sz w:val="24"/>
              </w:rPr>
              <w:t>71</w:t>
            </w:r>
          </w:p>
        </w:tc>
        <w:tc>
          <w:tcPr>
            <w:tcW w:w="7242" w:type="dxa"/>
            <w:vAlign w:val="center"/>
          </w:tcPr>
          <w:p w14:paraId="15C36360"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Non applicabile</w:t>
            </w:r>
          </w:p>
        </w:tc>
      </w:tr>
      <w:tr w:rsidR="00C85971" w:rsidRPr="000D715C" w14:paraId="12FC8CC2" w14:textId="77777777" w:rsidTr="00D819DE">
        <w:tc>
          <w:tcPr>
            <w:tcW w:w="1172" w:type="dxa"/>
            <w:vAlign w:val="center"/>
          </w:tcPr>
          <w:p w14:paraId="30B74791" w14:textId="77777777" w:rsidR="00C85971" w:rsidRPr="000D715C" w:rsidRDefault="00C85971" w:rsidP="000D715C">
            <w:pPr>
              <w:keepNext/>
              <w:keepLines/>
              <w:spacing w:after="200"/>
              <w:rPr>
                <w:rFonts w:ascii="Times New Roman" w:hAnsi="Times New Roman" w:cs="Times New Roman"/>
                <w:sz w:val="24"/>
              </w:rPr>
            </w:pPr>
            <w:r w:rsidRPr="000D715C">
              <w:rPr>
                <w:rFonts w:ascii="Times New Roman" w:hAnsi="Times New Roman"/>
                <w:sz w:val="24"/>
              </w:rPr>
              <w:lastRenderedPageBreak/>
              <w:t>72</w:t>
            </w:r>
          </w:p>
        </w:tc>
        <w:tc>
          <w:tcPr>
            <w:tcW w:w="7242" w:type="dxa"/>
            <w:vAlign w:val="center"/>
          </w:tcPr>
          <w:p w14:paraId="024154B6" w14:textId="725BF3B6" w:rsidR="00C85971" w:rsidRPr="000D715C" w:rsidRDefault="00C85971" w:rsidP="000D715C">
            <w:pPr>
              <w:keepNext/>
              <w:keepLines/>
              <w:spacing w:after="200"/>
              <w:jc w:val="both"/>
              <w:rPr>
                <w:rFonts w:ascii="Times New Roman" w:hAnsi="Times New Roman" w:cs="Times New Roman"/>
                <w:sz w:val="24"/>
              </w:rPr>
            </w:pPr>
            <w:r w:rsidRPr="000D715C">
              <w:rPr>
                <w:rFonts w:ascii="Times New Roman" w:hAnsi="Times New Roman"/>
                <w:sz w:val="24"/>
              </w:rPr>
              <w:t>Fondi propri e passività ammissibili di soggetti del settore finanziario detenuti direttamente o indirettamente, quando l</w:t>
            </w:r>
            <w:r w:rsidR="005424B9" w:rsidRPr="000D715C">
              <w:rPr>
                <w:rFonts w:ascii="Times New Roman" w:hAnsi="Times New Roman"/>
                <w:sz w:val="24"/>
              </w:rPr>
              <w:t>'</w:t>
            </w:r>
            <w:r w:rsidRPr="000D715C">
              <w:rPr>
                <w:rFonts w:ascii="Times New Roman" w:hAnsi="Times New Roman"/>
                <w:sz w:val="24"/>
              </w:rPr>
              <w:t>ente non ha un investimento significativo in tali soggetti (importo inferiore alla soglia del</w:t>
            </w:r>
            <w:r w:rsidR="000D715C" w:rsidRPr="000D715C">
              <w:rPr>
                <w:rFonts w:ascii="Times New Roman" w:hAnsi="Times New Roman"/>
                <w:sz w:val="24"/>
              </w:rPr>
              <w:t> </w:t>
            </w:r>
            <w:r w:rsidRPr="000D715C">
              <w:rPr>
                <w:rFonts w:ascii="Times New Roman" w:hAnsi="Times New Roman"/>
                <w:sz w:val="24"/>
              </w:rPr>
              <w:t>10 % e al netto di posizioni corte ammissibili)</w:t>
            </w:r>
          </w:p>
          <w:p w14:paraId="1F5B774D" w14:textId="69111EA4" w:rsidR="00C85971" w:rsidRPr="000D715C" w:rsidRDefault="00C85971" w:rsidP="000D715C">
            <w:pPr>
              <w:keepNext/>
              <w:keepLines/>
              <w:spacing w:after="200"/>
              <w:jc w:val="both"/>
              <w:rPr>
                <w:rFonts w:ascii="Times New Roman" w:hAnsi="Times New Roman" w:cs="Times New Roman"/>
                <w:sz w:val="24"/>
              </w:rPr>
            </w:pPr>
            <w:r w:rsidRPr="000D715C">
              <w:rPr>
                <w:rFonts w:ascii="Times New Roman" w:hAnsi="Times New Roman"/>
                <w:sz w:val="24"/>
              </w:rPr>
              <w:t>Fondi propri e passività ammissibili di soggetti del settore finanziario detenuti direttamente o indirettamente, quando l</w:t>
            </w:r>
            <w:r w:rsidR="005424B9" w:rsidRPr="000D715C">
              <w:rPr>
                <w:rFonts w:ascii="Times New Roman" w:hAnsi="Times New Roman"/>
                <w:sz w:val="24"/>
              </w:rPr>
              <w:t>'</w:t>
            </w:r>
            <w:r w:rsidRPr="000D715C">
              <w:rPr>
                <w:rFonts w:ascii="Times New Roman" w:hAnsi="Times New Roman"/>
                <w:sz w:val="24"/>
              </w:rPr>
              <w:t>ente non ha un investimento significativo in tali soggetti (importo inferiore alla soglia del</w:t>
            </w:r>
            <w:r w:rsidR="000D715C" w:rsidRPr="000D715C">
              <w:rPr>
                <w:rFonts w:ascii="Times New Roman" w:hAnsi="Times New Roman"/>
                <w:sz w:val="24"/>
              </w:rPr>
              <w:t> </w:t>
            </w:r>
            <w:r w:rsidRPr="000D715C">
              <w:rPr>
                <w:rFonts w:ascii="Times New Roman" w:hAnsi="Times New Roman"/>
                <w:sz w:val="24"/>
              </w:rPr>
              <w:t>10 % e al netto di posizioni corte ammissibili) conformemente all</w:t>
            </w:r>
            <w:r w:rsidR="005424B9" w:rsidRPr="000D715C">
              <w:rPr>
                <w:rFonts w:ascii="Times New Roman" w:hAnsi="Times New Roman"/>
                <w:sz w:val="24"/>
              </w:rPr>
              <w:t>'</w:t>
            </w:r>
            <w:r w:rsidRPr="000D715C">
              <w:rPr>
                <w:rFonts w:ascii="Times New Roman" w:hAnsi="Times New Roman"/>
                <w:sz w:val="24"/>
              </w:rPr>
              <w:t>articolo 36, paragrafo 1, lettera h), agli articoli 45 e 46, all</w:t>
            </w:r>
            <w:r w:rsidR="005424B9" w:rsidRPr="000D715C">
              <w:rPr>
                <w:rFonts w:ascii="Times New Roman" w:hAnsi="Times New Roman"/>
                <w:sz w:val="24"/>
              </w:rPr>
              <w:t>'</w:t>
            </w:r>
            <w:r w:rsidRPr="000D715C">
              <w:rPr>
                <w:rFonts w:ascii="Times New Roman" w:hAnsi="Times New Roman"/>
                <w:sz w:val="24"/>
              </w:rPr>
              <w:t>articolo 56, lettera c), agli articoli 59 e 60, all</w:t>
            </w:r>
            <w:r w:rsidR="005424B9" w:rsidRPr="000D715C">
              <w:rPr>
                <w:rFonts w:ascii="Times New Roman" w:hAnsi="Times New Roman"/>
                <w:sz w:val="24"/>
              </w:rPr>
              <w:t>'</w:t>
            </w:r>
            <w:r w:rsidRPr="000D715C">
              <w:rPr>
                <w:rFonts w:ascii="Times New Roman" w:hAnsi="Times New Roman"/>
                <w:sz w:val="24"/>
              </w:rPr>
              <w:t xml:space="preserve">articolo 66, lettera c), agli articoli 69, 70 e 72 decies del CRR. </w:t>
            </w:r>
          </w:p>
        </w:tc>
      </w:tr>
      <w:tr w:rsidR="00C85971" w:rsidRPr="000D715C" w14:paraId="3D93F4C7" w14:textId="77777777" w:rsidTr="00D819DE">
        <w:tc>
          <w:tcPr>
            <w:tcW w:w="1172" w:type="dxa"/>
            <w:vAlign w:val="center"/>
          </w:tcPr>
          <w:p w14:paraId="7DB0B967"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73</w:t>
            </w:r>
          </w:p>
        </w:tc>
        <w:tc>
          <w:tcPr>
            <w:tcW w:w="7242" w:type="dxa"/>
            <w:vAlign w:val="center"/>
          </w:tcPr>
          <w:p w14:paraId="7FC596D4" w14:textId="2B3EC701"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Strumenti di capitale CET1 di soggetti del settore finanziario detenuti direttamente o indirettamente dall</w:t>
            </w:r>
            <w:r w:rsidR="005424B9" w:rsidRPr="000D715C">
              <w:rPr>
                <w:rFonts w:ascii="Times New Roman" w:hAnsi="Times New Roman"/>
                <w:sz w:val="24"/>
              </w:rPr>
              <w:t>'</w:t>
            </w:r>
            <w:r w:rsidRPr="000D715C">
              <w:rPr>
                <w:rFonts w:ascii="Times New Roman" w:hAnsi="Times New Roman"/>
                <w:sz w:val="24"/>
              </w:rPr>
              <w:t>ente, quando l</w:t>
            </w:r>
            <w:r w:rsidR="005424B9" w:rsidRPr="000D715C">
              <w:rPr>
                <w:rFonts w:ascii="Times New Roman" w:hAnsi="Times New Roman"/>
                <w:sz w:val="24"/>
              </w:rPr>
              <w:t>'</w:t>
            </w:r>
            <w:r w:rsidRPr="000D715C">
              <w:rPr>
                <w:rFonts w:ascii="Times New Roman" w:hAnsi="Times New Roman"/>
                <w:sz w:val="24"/>
              </w:rPr>
              <w:t>ente ha un investimento significativo in tali soggetti (importo inferiore alla soglia del 17,65 % e al netto di posizioni corte ammissibili)</w:t>
            </w:r>
          </w:p>
          <w:p w14:paraId="5A38514E" w14:textId="65283389"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Strumenti di capitale CET1 di soggetti del settore finanziario detenuti direttamente o indirettamente dall</w:t>
            </w:r>
            <w:r w:rsidR="005424B9" w:rsidRPr="000D715C">
              <w:rPr>
                <w:rFonts w:ascii="Times New Roman" w:hAnsi="Times New Roman"/>
                <w:sz w:val="24"/>
              </w:rPr>
              <w:t>'</w:t>
            </w:r>
            <w:r w:rsidRPr="000D715C">
              <w:rPr>
                <w:rFonts w:ascii="Times New Roman" w:hAnsi="Times New Roman"/>
                <w:sz w:val="24"/>
              </w:rPr>
              <w:t>ente, quando l</w:t>
            </w:r>
            <w:r w:rsidR="005424B9" w:rsidRPr="000D715C">
              <w:rPr>
                <w:rFonts w:ascii="Times New Roman" w:hAnsi="Times New Roman"/>
                <w:sz w:val="24"/>
              </w:rPr>
              <w:t>'</w:t>
            </w:r>
            <w:r w:rsidRPr="000D715C">
              <w:rPr>
                <w:rFonts w:ascii="Times New Roman" w:hAnsi="Times New Roman"/>
                <w:sz w:val="24"/>
              </w:rPr>
              <w:t>ente ha un investimento significativo in tali soggetti (importo inferiore alla soglia del 17,65 % e al netto di posizioni corte ammissibili), conformemente all</w:t>
            </w:r>
            <w:r w:rsidR="005424B9" w:rsidRPr="000D715C">
              <w:rPr>
                <w:rFonts w:ascii="Times New Roman" w:hAnsi="Times New Roman"/>
                <w:sz w:val="24"/>
              </w:rPr>
              <w:t>'</w:t>
            </w:r>
            <w:r w:rsidRPr="000D715C">
              <w:rPr>
                <w:rFonts w:ascii="Times New Roman" w:hAnsi="Times New Roman"/>
                <w:sz w:val="24"/>
              </w:rPr>
              <w:t>articolo 36, paragrafo 1, lettera i), agli articoli 43, 45 e 47, all</w:t>
            </w:r>
            <w:r w:rsidR="005424B9" w:rsidRPr="000D715C">
              <w:rPr>
                <w:rFonts w:ascii="Times New Roman" w:hAnsi="Times New Roman"/>
                <w:sz w:val="24"/>
              </w:rPr>
              <w:t>'</w:t>
            </w:r>
            <w:r w:rsidRPr="000D715C">
              <w:rPr>
                <w:rFonts w:ascii="Times New Roman" w:hAnsi="Times New Roman"/>
                <w:sz w:val="24"/>
              </w:rPr>
              <w:t>articolo 48, paragrafo 1, lettera b), e all</w:t>
            </w:r>
            <w:r w:rsidR="005424B9" w:rsidRPr="000D715C">
              <w:rPr>
                <w:rFonts w:ascii="Times New Roman" w:hAnsi="Times New Roman"/>
                <w:sz w:val="24"/>
              </w:rPr>
              <w:t>'</w:t>
            </w:r>
            <w:r w:rsidRPr="000D715C">
              <w:rPr>
                <w:rFonts w:ascii="Times New Roman" w:hAnsi="Times New Roman"/>
                <w:sz w:val="24"/>
              </w:rPr>
              <w:t>articolo 49, paragrafi 1, 2 e 3, del CRR (l</w:t>
            </w:r>
            <w:r w:rsidR="005424B9" w:rsidRPr="000D715C">
              <w:rPr>
                <w:rFonts w:ascii="Times New Roman" w:hAnsi="Times New Roman"/>
                <w:sz w:val="24"/>
              </w:rPr>
              <w:t>'</w:t>
            </w:r>
            <w:r w:rsidRPr="000D715C">
              <w:rPr>
                <w:rFonts w:ascii="Times New Roman" w:hAnsi="Times New Roman"/>
                <w:sz w:val="24"/>
              </w:rPr>
              <w:t>importo totale di tali investimenti non indicati nelle righe 19 e 23 di questo modello).</w:t>
            </w:r>
          </w:p>
        </w:tc>
      </w:tr>
      <w:tr w:rsidR="00C85971" w:rsidRPr="000D715C" w14:paraId="0FB93112" w14:textId="77777777" w:rsidTr="00D819DE">
        <w:tc>
          <w:tcPr>
            <w:tcW w:w="1172" w:type="dxa"/>
            <w:vAlign w:val="center"/>
          </w:tcPr>
          <w:p w14:paraId="70224F28"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74</w:t>
            </w:r>
          </w:p>
        </w:tc>
        <w:tc>
          <w:tcPr>
            <w:tcW w:w="7242" w:type="dxa"/>
            <w:vAlign w:val="center"/>
          </w:tcPr>
          <w:p w14:paraId="6F439BB4"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Non applicabile</w:t>
            </w:r>
          </w:p>
        </w:tc>
      </w:tr>
      <w:tr w:rsidR="00C85971" w:rsidRPr="000D715C" w14:paraId="03D1E122" w14:textId="77777777" w:rsidTr="00D819DE">
        <w:tc>
          <w:tcPr>
            <w:tcW w:w="1172" w:type="dxa"/>
            <w:vAlign w:val="center"/>
          </w:tcPr>
          <w:p w14:paraId="4E9C2993"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75</w:t>
            </w:r>
          </w:p>
        </w:tc>
        <w:tc>
          <w:tcPr>
            <w:tcW w:w="7242" w:type="dxa"/>
            <w:vAlign w:val="center"/>
          </w:tcPr>
          <w:p w14:paraId="57F3C26B" w14:textId="1584D072"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Attività fiscali differite che derivano da differenze temporanee (importo inferiore alla soglia del 17,65 %, al netto delle relative passività fiscali per le quali sono soddisfatte le condizioni di cui all</w:t>
            </w:r>
            <w:r w:rsidR="005424B9" w:rsidRPr="000D715C">
              <w:rPr>
                <w:rFonts w:ascii="Times New Roman" w:hAnsi="Times New Roman"/>
                <w:sz w:val="24"/>
              </w:rPr>
              <w:t>'</w:t>
            </w:r>
            <w:r w:rsidRPr="000D715C">
              <w:rPr>
                <w:rFonts w:ascii="Times New Roman" w:hAnsi="Times New Roman"/>
                <w:sz w:val="24"/>
              </w:rPr>
              <w:t>articolo 38, paragrafo 3, del CRR)</w:t>
            </w:r>
          </w:p>
          <w:p w14:paraId="3D7670CB" w14:textId="322852F5"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Attività fiscali differite che derivano da differenze temporanee (importo inferiore alla soglia del</w:t>
            </w:r>
            <w:r w:rsidR="005424B9" w:rsidRPr="000D715C">
              <w:rPr>
                <w:rFonts w:ascii="Times New Roman" w:hAnsi="Times New Roman"/>
                <w:sz w:val="24"/>
              </w:rPr>
              <w:t> </w:t>
            </w:r>
            <w:r w:rsidRPr="000D715C">
              <w:rPr>
                <w:rFonts w:ascii="Times New Roman" w:hAnsi="Times New Roman"/>
                <w:sz w:val="24"/>
              </w:rPr>
              <w:t>17,65 %, conformemente all</w:t>
            </w:r>
            <w:r w:rsidR="005424B9" w:rsidRPr="000D715C">
              <w:rPr>
                <w:rFonts w:ascii="Times New Roman" w:hAnsi="Times New Roman"/>
                <w:sz w:val="24"/>
              </w:rPr>
              <w:t>'</w:t>
            </w:r>
            <w:r w:rsidRPr="000D715C">
              <w:rPr>
                <w:rFonts w:ascii="Times New Roman" w:hAnsi="Times New Roman"/>
                <w:sz w:val="24"/>
              </w:rPr>
              <w:t>articolo</w:t>
            </w:r>
            <w:r w:rsidR="005424B9" w:rsidRPr="000D715C">
              <w:rPr>
                <w:rFonts w:ascii="Times New Roman" w:hAnsi="Times New Roman"/>
                <w:sz w:val="24"/>
              </w:rPr>
              <w:t> </w:t>
            </w:r>
            <w:r w:rsidRPr="000D715C">
              <w:rPr>
                <w:rFonts w:ascii="Times New Roman" w:hAnsi="Times New Roman"/>
                <w:sz w:val="24"/>
              </w:rPr>
              <w:t>48, paragrafo</w:t>
            </w:r>
            <w:r w:rsidR="005424B9" w:rsidRPr="000D715C">
              <w:rPr>
                <w:rFonts w:ascii="Times New Roman" w:hAnsi="Times New Roman"/>
                <w:sz w:val="24"/>
              </w:rPr>
              <w:t> </w:t>
            </w:r>
            <w:r w:rsidRPr="000D715C">
              <w:rPr>
                <w:rFonts w:ascii="Times New Roman" w:hAnsi="Times New Roman"/>
                <w:sz w:val="24"/>
              </w:rPr>
              <w:t>2, lettera b), del CRR, al netto delle relative passività fiscali per le quali sono soddisfatte le condizioni di cui all</w:t>
            </w:r>
            <w:r w:rsidR="005424B9" w:rsidRPr="000D715C">
              <w:rPr>
                <w:rFonts w:ascii="Times New Roman" w:hAnsi="Times New Roman"/>
                <w:sz w:val="24"/>
              </w:rPr>
              <w:t>'</w:t>
            </w:r>
            <w:r w:rsidRPr="000D715C">
              <w:rPr>
                <w:rFonts w:ascii="Times New Roman" w:hAnsi="Times New Roman"/>
                <w:sz w:val="24"/>
              </w:rPr>
              <w:t>articolo 38, paragrafo 3, del CRR), conformemente all</w:t>
            </w:r>
            <w:r w:rsidR="005424B9" w:rsidRPr="000D715C">
              <w:rPr>
                <w:rFonts w:ascii="Times New Roman" w:hAnsi="Times New Roman"/>
                <w:sz w:val="24"/>
              </w:rPr>
              <w:t>'</w:t>
            </w:r>
            <w:r w:rsidRPr="000D715C">
              <w:rPr>
                <w:rFonts w:ascii="Times New Roman" w:hAnsi="Times New Roman"/>
                <w:sz w:val="24"/>
              </w:rPr>
              <w:t>articolo 36, paragrafo 1, lettera c), e agli articoli 38 e 48 del CRR (l</w:t>
            </w:r>
            <w:r w:rsidR="005424B9" w:rsidRPr="000D715C">
              <w:rPr>
                <w:rFonts w:ascii="Times New Roman" w:hAnsi="Times New Roman"/>
                <w:sz w:val="24"/>
              </w:rPr>
              <w:t>'</w:t>
            </w:r>
            <w:r w:rsidRPr="000D715C">
              <w:rPr>
                <w:rFonts w:ascii="Times New Roman" w:hAnsi="Times New Roman"/>
                <w:sz w:val="24"/>
              </w:rPr>
              <w:t>importo totale di tali attività fiscali differite che non sono indicate nelle righe 21 e 25 di questo modello).</w:t>
            </w:r>
          </w:p>
        </w:tc>
      </w:tr>
      <w:tr w:rsidR="00C85971" w:rsidRPr="000D715C" w14:paraId="34C77C6D" w14:textId="77777777" w:rsidTr="00D819DE">
        <w:tc>
          <w:tcPr>
            <w:tcW w:w="1172" w:type="dxa"/>
            <w:vAlign w:val="center"/>
          </w:tcPr>
          <w:p w14:paraId="25B69079"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76</w:t>
            </w:r>
          </w:p>
        </w:tc>
        <w:tc>
          <w:tcPr>
            <w:tcW w:w="7242" w:type="dxa"/>
            <w:vAlign w:val="center"/>
          </w:tcPr>
          <w:p w14:paraId="67D1317E" w14:textId="29A19A96"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Rettifiche di valore su crediti incluse nel capitale T2 in relazione alle esposizioni soggette al metodo standardizzato (prima dell</w:t>
            </w:r>
            <w:r w:rsidR="005424B9" w:rsidRPr="000D715C">
              <w:rPr>
                <w:rFonts w:ascii="Times New Roman" w:hAnsi="Times New Roman"/>
                <w:sz w:val="24"/>
              </w:rPr>
              <w:t>'</w:t>
            </w:r>
            <w:r w:rsidRPr="000D715C">
              <w:rPr>
                <w:rFonts w:ascii="Times New Roman" w:hAnsi="Times New Roman"/>
                <w:sz w:val="24"/>
              </w:rPr>
              <w:t>applicazione del massimale)</w:t>
            </w:r>
          </w:p>
          <w:p w14:paraId="5F64B02C" w14:textId="15E78B80"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Rettifiche di valore su crediti incluse nel capitale T2 in relazione alle esposizioni soggette al metodo standardizzato, conformemente all</w:t>
            </w:r>
            <w:r w:rsidR="005424B9" w:rsidRPr="000D715C">
              <w:rPr>
                <w:rFonts w:ascii="Times New Roman" w:hAnsi="Times New Roman"/>
                <w:sz w:val="24"/>
              </w:rPr>
              <w:t>'</w:t>
            </w:r>
            <w:r w:rsidRPr="000D715C">
              <w:rPr>
                <w:rFonts w:ascii="Times New Roman" w:hAnsi="Times New Roman"/>
                <w:sz w:val="24"/>
              </w:rPr>
              <w:t>articolo</w:t>
            </w:r>
            <w:r w:rsidR="005424B9" w:rsidRPr="000D715C">
              <w:rPr>
                <w:rFonts w:ascii="Times New Roman" w:hAnsi="Times New Roman"/>
                <w:sz w:val="24"/>
              </w:rPr>
              <w:t> </w:t>
            </w:r>
            <w:r w:rsidRPr="000D715C">
              <w:rPr>
                <w:rFonts w:ascii="Times New Roman" w:hAnsi="Times New Roman"/>
                <w:sz w:val="24"/>
              </w:rPr>
              <w:t>62, lettera c), del CRR.</w:t>
            </w:r>
          </w:p>
        </w:tc>
      </w:tr>
      <w:tr w:rsidR="00C85971" w:rsidRPr="000D715C" w14:paraId="0C61B8F5" w14:textId="77777777" w:rsidTr="00D819DE">
        <w:tc>
          <w:tcPr>
            <w:tcW w:w="1172" w:type="dxa"/>
            <w:vAlign w:val="center"/>
          </w:tcPr>
          <w:p w14:paraId="63FD1F69" w14:textId="77777777" w:rsidR="00C85971" w:rsidRPr="000D715C" w:rsidRDefault="00C85971" w:rsidP="000D715C">
            <w:pPr>
              <w:keepNext/>
              <w:keepLines/>
              <w:spacing w:after="200"/>
              <w:rPr>
                <w:rFonts w:ascii="Times New Roman" w:hAnsi="Times New Roman" w:cs="Times New Roman"/>
                <w:sz w:val="24"/>
              </w:rPr>
            </w:pPr>
            <w:r w:rsidRPr="000D715C">
              <w:rPr>
                <w:rFonts w:ascii="Times New Roman" w:hAnsi="Times New Roman"/>
                <w:sz w:val="24"/>
              </w:rPr>
              <w:lastRenderedPageBreak/>
              <w:t>77</w:t>
            </w:r>
          </w:p>
        </w:tc>
        <w:tc>
          <w:tcPr>
            <w:tcW w:w="7242" w:type="dxa"/>
            <w:vAlign w:val="center"/>
          </w:tcPr>
          <w:p w14:paraId="00AAF9BB" w14:textId="0A7E49A9" w:rsidR="00C85971" w:rsidRPr="000D715C" w:rsidRDefault="00C85971" w:rsidP="000D715C">
            <w:pPr>
              <w:keepNext/>
              <w:keepLines/>
              <w:spacing w:after="200"/>
              <w:jc w:val="both"/>
              <w:rPr>
                <w:rFonts w:ascii="Times New Roman" w:hAnsi="Times New Roman" w:cs="Times New Roman"/>
                <w:sz w:val="24"/>
              </w:rPr>
            </w:pPr>
            <w:r w:rsidRPr="000D715C">
              <w:rPr>
                <w:rFonts w:ascii="Times New Roman" w:hAnsi="Times New Roman"/>
                <w:sz w:val="24"/>
              </w:rPr>
              <w:t>Massimale per l</w:t>
            </w:r>
            <w:r w:rsidR="005424B9" w:rsidRPr="000D715C">
              <w:rPr>
                <w:rFonts w:ascii="Times New Roman" w:hAnsi="Times New Roman"/>
                <w:sz w:val="24"/>
              </w:rPr>
              <w:t>'</w:t>
            </w:r>
            <w:r w:rsidRPr="000D715C">
              <w:rPr>
                <w:rFonts w:ascii="Times New Roman" w:hAnsi="Times New Roman"/>
                <w:sz w:val="24"/>
              </w:rPr>
              <w:t>inclusione di rettifiche di valore su crediti nel capitale T2 nel quadro del metodo standardizzato</w:t>
            </w:r>
          </w:p>
          <w:p w14:paraId="3A3B34B4" w14:textId="69004A7E" w:rsidR="00C85971" w:rsidRPr="000D715C" w:rsidRDefault="00C85971" w:rsidP="000D715C">
            <w:pPr>
              <w:keepNext/>
              <w:keepLines/>
              <w:spacing w:after="200"/>
              <w:jc w:val="both"/>
              <w:rPr>
                <w:rFonts w:ascii="Times New Roman" w:hAnsi="Times New Roman" w:cs="Times New Roman"/>
                <w:sz w:val="24"/>
              </w:rPr>
            </w:pPr>
            <w:r w:rsidRPr="000D715C">
              <w:rPr>
                <w:rFonts w:ascii="Times New Roman" w:hAnsi="Times New Roman"/>
                <w:sz w:val="24"/>
              </w:rPr>
              <w:t>Massimale per l</w:t>
            </w:r>
            <w:r w:rsidR="005424B9" w:rsidRPr="000D715C">
              <w:rPr>
                <w:rFonts w:ascii="Times New Roman" w:hAnsi="Times New Roman"/>
                <w:sz w:val="24"/>
              </w:rPr>
              <w:t>'</w:t>
            </w:r>
            <w:r w:rsidRPr="000D715C">
              <w:rPr>
                <w:rFonts w:ascii="Times New Roman" w:hAnsi="Times New Roman"/>
                <w:sz w:val="24"/>
              </w:rPr>
              <w:t>inclusione di rettifiche di valore su crediti nel capitale T2 nel quadro del metodo standardizzato, conformemente all</w:t>
            </w:r>
            <w:r w:rsidR="005424B9" w:rsidRPr="000D715C">
              <w:rPr>
                <w:rFonts w:ascii="Times New Roman" w:hAnsi="Times New Roman"/>
                <w:sz w:val="24"/>
              </w:rPr>
              <w:t>'</w:t>
            </w:r>
            <w:r w:rsidRPr="000D715C">
              <w:rPr>
                <w:rFonts w:ascii="Times New Roman" w:hAnsi="Times New Roman"/>
                <w:sz w:val="24"/>
              </w:rPr>
              <w:t>articolo</w:t>
            </w:r>
            <w:r w:rsidR="005424B9" w:rsidRPr="000D715C">
              <w:rPr>
                <w:rFonts w:ascii="Times New Roman" w:hAnsi="Times New Roman"/>
                <w:sz w:val="24"/>
              </w:rPr>
              <w:t> </w:t>
            </w:r>
            <w:r w:rsidRPr="000D715C">
              <w:rPr>
                <w:rFonts w:ascii="Times New Roman" w:hAnsi="Times New Roman"/>
                <w:sz w:val="24"/>
              </w:rPr>
              <w:t>62, lettera c), del CRR.</w:t>
            </w:r>
          </w:p>
        </w:tc>
      </w:tr>
      <w:tr w:rsidR="00C85971" w:rsidRPr="000D715C" w14:paraId="2AC2EB61" w14:textId="77777777" w:rsidTr="00D819DE">
        <w:tc>
          <w:tcPr>
            <w:tcW w:w="1172" w:type="dxa"/>
            <w:vAlign w:val="center"/>
          </w:tcPr>
          <w:p w14:paraId="1C014C99"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78</w:t>
            </w:r>
          </w:p>
        </w:tc>
        <w:tc>
          <w:tcPr>
            <w:tcW w:w="7242" w:type="dxa"/>
            <w:vAlign w:val="center"/>
          </w:tcPr>
          <w:p w14:paraId="78E448E5" w14:textId="0D097684"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Rettifiche di valore su crediti incluse nel capitale T2 in relazione alle esposizioni soggette al metodo basato sui rating interni (prima dell</w:t>
            </w:r>
            <w:r w:rsidR="005424B9" w:rsidRPr="000D715C">
              <w:rPr>
                <w:rFonts w:ascii="Times New Roman" w:hAnsi="Times New Roman"/>
                <w:sz w:val="24"/>
              </w:rPr>
              <w:t>'</w:t>
            </w:r>
            <w:r w:rsidRPr="000D715C">
              <w:rPr>
                <w:rFonts w:ascii="Times New Roman" w:hAnsi="Times New Roman"/>
                <w:sz w:val="24"/>
              </w:rPr>
              <w:t>applicazione del massimale)</w:t>
            </w:r>
          </w:p>
          <w:p w14:paraId="68CD65AF" w14:textId="0B589B65"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Rettifiche di valore su crediti incluse nel capitale T2 in relazione alle esposizioni soggette al metodo basato sui rating interni, conformemente all</w:t>
            </w:r>
            <w:r w:rsidR="005424B9" w:rsidRPr="000D715C">
              <w:rPr>
                <w:rFonts w:ascii="Times New Roman" w:hAnsi="Times New Roman"/>
                <w:sz w:val="24"/>
              </w:rPr>
              <w:t>'</w:t>
            </w:r>
            <w:r w:rsidRPr="000D715C">
              <w:rPr>
                <w:rFonts w:ascii="Times New Roman" w:hAnsi="Times New Roman"/>
                <w:sz w:val="24"/>
              </w:rPr>
              <w:t>articolo 62, lettera d), del CRR.</w:t>
            </w:r>
          </w:p>
        </w:tc>
      </w:tr>
      <w:tr w:rsidR="00C85971" w:rsidRPr="000D715C" w14:paraId="0F52C71E" w14:textId="77777777" w:rsidTr="00D819DE">
        <w:tc>
          <w:tcPr>
            <w:tcW w:w="1172" w:type="dxa"/>
            <w:vAlign w:val="center"/>
          </w:tcPr>
          <w:p w14:paraId="12CCA4EF"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79</w:t>
            </w:r>
          </w:p>
        </w:tc>
        <w:tc>
          <w:tcPr>
            <w:tcW w:w="7242" w:type="dxa"/>
            <w:vAlign w:val="center"/>
          </w:tcPr>
          <w:p w14:paraId="4FE01D3F" w14:textId="0DCC761B"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Massimale per l</w:t>
            </w:r>
            <w:r w:rsidR="005424B9" w:rsidRPr="000D715C">
              <w:rPr>
                <w:rFonts w:ascii="Times New Roman" w:hAnsi="Times New Roman"/>
                <w:sz w:val="24"/>
              </w:rPr>
              <w:t>'</w:t>
            </w:r>
            <w:r w:rsidRPr="000D715C">
              <w:rPr>
                <w:rFonts w:ascii="Times New Roman" w:hAnsi="Times New Roman"/>
                <w:sz w:val="24"/>
              </w:rPr>
              <w:t>inclusione di rettifiche di valore su crediti nel capitale T2 nel quadro del metodo basato sui rating interni</w:t>
            </w:r>
          </w:p>
          <w:p w14:paraId="63CECB1B" w14:textId="0EA808DE"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Massimale per l</w:t>
            </w:r>
            <w:r w:rsidR="005424B9" w:rsidRPr="000D715C">
              <w:rPr>
                <w:rFonts w:ascii="Times New Roman" w:hAnsi="Times New Roman"/>
                <w:sz w:val="24"/>
              </w:rPr>
              <w:t>'</w:t>
            </w:r>
            <w:r w:rsidRPr="000D715C">
              <w:rPr>
                <w:rFonts w:ascii="Times New Roman" w:hAnsi="Times New Roman"/>
                <w:sz w:val="24"/>
              </w:rPr>
              <w:t>inclusione di rettifiche di valore su crediti nel capitale T2 nel quadro del metodo basato sui rating interni, conformemente all</w:t>
            </w:r>
            <w:r w:rsidR="005424B9" w:rsidRPr="000D715C">
              <w:rPr>
                <w:rFonts w:ascii="Times New Roman" w:hAnsi="Times New Roman"/>
                <w:sz w:val="24"/>
              </w:rPr>
              <w:t>'</w:t>
            </w:r>
            <w:r w:rsidRPr="000D715C">
              <w:rPr>
                <w:rFonts w:ascii="Times New Roman" w:hAnsi="Times New Roman"/>
                <w:sz w:val="24"/>
              </w:rPr>
              <w:t>articolo 62, lettera d), del CRR.</w:t>
            </w:r>
          </w:p>
        </w:tc>
      </w:tr>
      <w:tr w:rsidR="00C85971" w:rsidRPr="000D715C" w14:paraId="43D161D4" w14:textId="77777777" w:rsidTr="00D819DE">
        <w:tc>
          <w:tcPr>
            <w:tcW w:w="1172" w:type="dxa"/>
            <w:vAlign w:val="center"/>
          </w:tcPr>
          <w:p w14:paraId="75AD8A7C"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80</w:t>
            </w:r>
          </w:p>
        </w:tc>
        <w:tc>
          <w:tcPr>
            <w:tcW w:w="7242" w:type="dxa"/>
            <w:vAlign w:val="center"/>
          </w:tcPr>
          <w:p w14:paraId="1DA6A6EB"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Massimale corrente sugli strumenti di capitale CET1 soggetti a eliminazione progressiva</w:t>
            </w:r>
          </w:p>
          <w:p w14:paraId="1D5E4031" w14:textId="3E3859D4"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Massimale corrente sugli strumenti di capitale CET1 soggetti a eliminazione progressiva, conformemente all</w:t>
            </w:r>
            <w:r w:rsidR="005424B9" w:rsidRPr="000D715C">
              <w:rPr>
                <w:rFonts w:ascii="Times New Roman" w:hAnsi="Times New Roman"/>
                <w:sz w:val="24"/>
              </w:rPr>
              <w:t>'</w:t>
            </w:r>
            <w:r w:rsidRPr="000D715C">
              <w:rPr>
                <w:rFonts w:ascii="Times New Roman" w:hAnsi="Times New Roman"/>
                <w:sz w:val="24"/>
              </w:rPr>
              <w:t>articolo 484, paragrafo 3, e all</w:t>
            </w:r>
            <w:r w:rsidR="005424B9" w:rsidRPr="000D715C">
              <w:rPr>
                <w:rFonts w:ascii="Times New Roman" w:hAnsi="Times New Roman"/>
                <w:sz w:val="24"/>
              </w:rPr>
              <w:t>'</w:t>
            </w:r>
            <w:r w:rsidRPr="000D715C">
              <w:rPr>
                <w:rFonts w:ascii="Times New Roman" w:hAnsi="Times New Roman"/>
                <w:sz w:val="24"/>
              </w:rPr>
              <w:t>articolo 486, paragrafi 2 e 5, del CRR.</w:t>
            </w:r>
          </w:p>
        </w:tc>
      </w:tr>
      <w:tr w:rsidR="00C85971" w:rsidRPr="000D715C" w14:paraId="32F98EBB" w14:textId="77777777" w:rsidTr="00D819DE">
        <w:tc>
          <w:tcPr>
            <w:tcW w:w="1172" w:type="dxa"/>
            <w:vAlign w:val="center"/>
          </w:tcPr>
          <w:p w14:paraId="52A2ED89"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81</w:t>
            </w:r>
          </w:p>
        </w:tc>
        <w:tc>
          <w:tcPr>
            <w:tcW w:w="7242" w:type="dxa"/>
            <w:vAlign w:val="center"/>
          </w:tcPr>
          <w:p w14:paraId="4F7F93B5"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Importo escluso dal capitale CET1 in ragione del massimale (superamento del massimale dopo i rimborsi e le scadenze)</w:t>
            </w:r>
          </w:p>
          <w:p w14:paraId="6C527904" w14:textId="09A50EE2"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Importo escluso dal capitale CET1 in ragione del massimale (superamento del massimale dopo i rimborsi e le scadenze), conformemente all</w:t>
            </w:r>
            <w:r w:rsidR="005424B9" w:rsidRPr="000D715C">
              <w:rPr>
                <w:rFonts w:ascii="Times New Roman" w:hAnsi="Times New Roman"/>
                <w:sz w:val="24"/>
              </w:rPr>
              <w:t>'</w:t>
            </w:r>
            <w:r w:rsidRPr="000D715C">
              <w:rPr>
                <w:rFonts w:ascii="Times New Roman" w:hAnsi="Times New Roman"/>
                <w:sz w:val="24"/>
              </w:rPr>
              <w:t>articolo</w:t>
            </w:r>
            <w:r w:rsidR="005424B9" w:rsidRPr="000D715C">
              <w:rPr>
                <w:rFonts w:ascii="Times New Roman" w:hAnsi="Times New Roman"/>
                <w:sz w:val="24"/>
              </w:rPr>
              <w:t> </w:t>
            </w:r>
            <w:r w:rsidRPr="000D715C">
              <w:rPr>
                <w:rFonts w:ascii="Times New Roman" w:hAnsi="Times New Roman"/>
                <w:sz w:val="24"/>
              </w:rPr>
              <w:t>484, paragrafo 3, e all</w:t>
            </w:r>
            <w:r w:rsidR="005424B9" w:rsidRPr="000D715C">
              <w:rPr>
                <w:rFonts w:ascii="Times New Roman" w:hAnsi="Times New Roman"/>
                <w:sz w:val="24"/>
              </w:rPr>
              <w:t>'</w:t>
            </w:r>
            <w:r w:rsidRPr="000D715C">
              <w:rPr>
                <w:rFonts w:ascii="Times New Roman" w:hAnsi="Times New Roman"/>
                <w:sz w:val="24"/>
              </w:rPr>
              <w:t>articolo 486, paragrafi 2 e 5, del CRR.</w:t>
            </w:r>
          </w:p>
        </w:tc>
      </w:tr>
      <w:tr w:rsidR="00C85971" w:rsidRPr="000D715C" w14:paraId="1618353A" w14:textId="77777777" w:rsidTr="00D819DE">
        <w:tc>
          <w:tcPr>
            <w:tcW w:w="1172" w:type="dxa"/>
            <w:vAlign w:val="center"/>
          </w:tcPr>
          <w:p w14:paraId="2AE57493"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82</w:t>
            </w:r>
          </w:p>
        </w:tc>
        <w:tc>
          <w:tcPr>
            <w:tcW w:w="7242" w:type="dxa"/>
            <w:vAlign w:val="center"/>
          </w:tcPr>
          <w:p w14:paraId="3FB600AC"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Massimale corrente sugli strumenti di capitale AT1 soggetti a eliminazione progressiva</w:t>
            </w:r>
          </w:p>
          <w:p w14:paraId="44449516" w14:textId="17814FAB"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Massimale corrente sugli strumenti di capitale AT1 soggetti a eliminazione progressiva, conformemente all</w:t>
            </w:r>
            <w:r w:rsidR="005424B9" w:rsidRPr="000D715C">
              <w:rPr>
                <w:rFonts w:ascii="Times New Roman" w:hAnsi="Times New Roman"/>
                <w:sz w:val="24"/>
              </w:rPr>
              <w:t>'</w:t>
            </w:r>
            <w:r w:rsidRPr="000D715C">
              <w:rPr>
                <w:rFonts w:ascii="Times New Roman" w:hAnsi="Times New Roman"/>
                <w:sz w:val="24"/>
              </w:rPr>
              <w:t>articolo 484, paragrafo 4, e all</w:t>
            </w:r>
            <w:r w:rsidR="005424B9" w:rsidRPr="000D715C">
              <w:rPr>
                <w:rFonts w:ascii="Times New Roman" w:hAnsi="Times New Roman"/>
                <w:sz w:val="24"/>
              </w:rPr>
              <w:t>'</w:t>
            </w:r>
            <w:r w:rsidRPr="000D715C">
              <w:rPr>
                <w:rFonts w:ascii="Times New Roman" w:hAnsi="Times New Roman"/>
                <w:sz w:val="24"/>
              </w:rPr>
              <w:t>articolo 486, paragrafi 3 e 5, del CRR.</w:t>
            </w:r>
          </w:p>
        </w:tc>
      </w:tr>
      <w:tr w:rsidR="00C85971" w:rsidRPr="000D715C" w14:paraId="162021E2" w14:textId="77777777" w:rsidTr="00D819DE">
        <w:tc>
          <w:tcPr>
            <w:tcW w:w="1172" w:type="dxa"/>
            <w:vAlign w:val="center"/>
          </w:tcPr>
          <w:p w14:paraId="39BEA971"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83</w:t>
            </w:r>
          </w:p>
        </w:tc>
        <w:tc>
          <w:tcPr>
            <w:tcW w:w="7242" w:type="dxa"/>
            <w:vAlign w:val="center"/>
          </w:tcPr>
          <w:p w14:paraId="627736CE"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Importo escluso dal capitale AT1 in ragione del massimale (superamento del massimale dopo i rimborsi e le scadenze)</w:t>
            </w:r>
          </w:p>
          <w:p w14:paraId="127E661D" w14:textId="00BF843E"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Importo escluso dal capitale AT1 in ragione del massimale (superamento del massimale dopo i rimborsi e le scadenze), conformemente all</w:t>
            </w:r>
            <w:r w:rsidR="005424B9" w:rsidRPr="000D715C">
              <w:rPr>
                <w:rFonts w:ascii="Times New Roman" w:hAnsi="Times New Roman"/>
                <w:sz w:val="24"/>
              </w:rPr>
              <w:t>'</w:t>
            </w:r>
            <w:r w:rsidRPr="000D715C">
              <w:rPr>
                <w:rFonts w:ascii="Times New Roman" w:hAnsi="Times New Roman"/>
                <w:sz w:val="24"/>
              </w:rPr>
              <w:t>articolo</w:t>
            </w:r>
            <w:r w:rsidR="005424B9" w:rsidRPr="000D715C">
              <w:rPr>
                <w:rFonts w:ascii="Times New Roman" w:hAnsi="Times New Roman"/>
                <w:sz w:val="24"/>
              </w:rPr>
              <w:t> </w:t>
            </w:r>
            <w:r w:rsidRPr="000D715C">
              <w:rPr>
                <w:rFonts w:ascii="Times New Roman" w:hAnsi="Times New Roman"/>
                <w:sz w:val="24"/>
              </w:rPr>
              <w:t>484, paragrafo 4, e all</w:t>
            </w:r>
            <w:r w:rsidR="005424B9" w:rsidRPr="000D715C">
              <w:rPr>
                <w:rFonts w:ascii="Times New Roman" w:hAnsi="Times New Roman"/>
                <w:sz w:val="24"/>
              </w:rPr>
              <w:t>'</w:t>
            </w:r>
            <w:r w:rsidRPr="000D715C">
              <w:rPr>
                <w:rFonts w:ascii="Times New Roman" w:hAnsi="Times New Roman"/>
                <w:sz w:val="24"/>
              </w:rPr>
              <w:t>articolo 486, paragrafi 3 e 5, del CRR.</w:t>
            </w:r>
          </w:p>
        </w:tc>
      </w:tr>
      <w:tr w:rsidR="00C85971" w:rsidRPr="000D715C" w14:paraId="5CD915E4" w14:textId="77777777" w:rsidTr="00D819DE">
        <w:tc>
          <w:tcPr>
            <w:tcW w:w="1172" w:type="dxa"/>
            <w:vAlign w:val="center"/>
          </w:tcPr>
          <w:p w14:paraId="69C0892E" w14:textId="77777777" w:rsidR="00C85971" w:rsidRPr="000D715C" w:rsidRDefault="00C85971" w:rsidP="000D715C">
            <w:pPr>
              <w:keepNext/>
              <w:keepLines/>
              <w:spacing w:after="200"/>
              <w:rPr>
                <w:rFonts w:ascii="Times New Roman" w:hAnsi="Times New Roman" w:cs="Times New Roman"/>
                <w:sz w:val="24"/>
              </w:rPr>
            </w:pPr>
            <w:r w:rsidRPr="000D715C">
              <w:rPr>
                <w:rFonts w:ascii="Times New Roman" w:hAnsi="Times New Roman"/>
                <w:sz w:val="24"/>
              </w:rPr>
              <w:lastRenderedPageBreak/>
              <w:t>84</w:t>
            </w:r>
          </w:p>
        </w:tc>
        <w:tc>
          <w:tcPr>
            <w:tcW w:w="7242" w:type="dxa"/>
            <w:vAlign w:val="center"/>
          </w:tcPr>
          <w:p w14:paraId="1A5B9EC0" w14:textId="77777777" w:rsidR="00C85971" w:rsidRPr="000D715C" w:rsidRDefault="00C85971" w:rsidP="000D715C">
            <w:pPr>
              <w:keepNext/>
              <w:keepLines/>
              <w:spacing w:after="200"/>
              <w:jc w:val="both"/>
              <w:rPr>
                <w:rFonts w:ascii="Times New Roman" w:hAnsi="Times New Roman" w:cs="Times New Roman"/>
                <w:sz w:val="24"/>
              </w:rPr>
            </w:pPr>
            <w:r w:rsidRPr="000D715C">
              <w:rPr>
                <w:rFonts w:ascii="Times New Roman" w:hAnsi="Times New Roman"/>
                <w:sz w:val="24"/>
              </w:rPr>
              <w:t>Massimale corrente sugli strumenti di capitale T2 soggetti a eliminazione progressiva</w:t>
            </w:r>
          </w:p>
          <w:p w14:paraId="47E5FAF3" w14:textId="78777819" w:rsidR="00C85971" w:rsidRPr="000D715C" w:rsidRDefault="00C85971" w:rsidP="000D715C">
            <w:pPr>
              <w:keepNext/>
              <w:keepLines/>
              <w:spacing w:after="200"/>
              <w:jc w:val="both"/>
              <w:rPr>
                <w:rFonts w:ascii="Times New Roman" w:hAnsi="Times New Roman" w:cs="Times New Roman"/>
                <w:sz w:val="24"/>
              </w:rPr>
            </w:pPr>
            <w:r w:rsidRPr="000D715C">
              <w:rPr>
                <w:rFonts w:ascii="Times New Roman" w:hAnsi="Times New Roman"/>
                <w:sz w:val="24"/>
              </w:rPr>
              <w:t>Massimale corrente sugli strumenti di capitale T2 soggetti a eliminazione progressiva, conformemente all</w:t>
            </w:r>
            <w:r w:rsidR="005424B9" w:rsidRPr="000D715C">
              <w:rPr>
                <w:rFonts w:ascii="Times New Roman" w:hAnsi="Times New Roman"/>
                <w:sz w:val="24"/>
              </w:rPr>
              <w:t>'</w:t>
            </w:r>
            <w:r w:rsidRPr="000D715C">
              <w:rPr>
                <w:rFonts w:ascii="Times New Roman" w:hAnsi="Times New Roman"/>
                <w:sz w:val="24"/>
              </w:rPr>
              <w:t>articolo</w:t>
            </w:r>
            <w:r w:rsidR="005424B9" w:rsidRPr="000D715C">
              <w:rPr>
                <w:rFonts w:ascii="Times New Roman" w:hAnsi="Times New Roman"/>
                <w:sz w:val="24"/>
              </w:rPr>
              <w:t> </w:t>
            </w:r>
            <w:r w:rsidRPr="000D715C">
              <w:rPr>
                <w:rFonts w:ascii="Times New Roman" w:hAnsi="Times New Roman"/>
                <w:sz w:val="24"/>
              </w:rPr>
              <w:t>484, paragrafo</w:t>
            </w:r>
            <w:r w:rsidR="005424B9" w:rsidRPr="000D715C">
              <w:rPr>
                <w:rFonts w:ascii="Times New Roman" w:hAnsi="Times New Roman"/>
                <w:sz w:val="24"/>
              </w:rPr>
              <w:t> </w:t>
            </w:r>
            <w:r w:rsidRPr="000D715C">
              <w:rPr>
                <w:rFonts w:ascii="Times New Roman" w:hAnsi="Times New Roman"/>
                <w:sz w:val="24"/>
              </w:rPr>
              <w:t>5, e all</w:t>
            </w:r>
            <w:r w:rsidR="005424B9" w:rsidRPr="000D715C">
              <w:rPr>
                <w:rFonts w:ascii="Times New Roman" w:hAnsi="Times New Roman"/>
                <w:sz w:val="24"/>
              </w:rPr>
              <w:t>'</w:t>
            </w:r>
            <w:r w:rsidRPr="000D715C">
              <w:rPr>
                <w:rFonts w:ascii="Times New Roman" w:hAnsi="Times New Roman"/>
                <w:sz w:val="24"/>
              </w:rPr>
              <w:t>articolo</w:t>
            </w:r>
            <w:r w:rsidR="005424B9" w:rsidRPr="000D715C">
              <w:rPr>
                <w:rFonts w:ascii="Times New Roman" w:hAnsi="Times New Roman"/>
                <w:sz w:val="24"/>
              </w:rPr>
              <w:t> </w:t>
            </w:r>
            <w:r w:rsidRPr="000D715C">
              <w:rPr>
                <w:rFonts w:ascii="Times New Roman" w:hAnsi="Times New Roman"/>
                <w:sz w:val="24"/>
              </w:rPr>
              <w:t>486, paragrafi 4 e 5, del CRR.</w:t>
            </w:r>
          </w:p>
        </w:tc>
      </w:tr>
      <w:tr w:rsidR="00C85971" w:rsidRPr="000D715C" w14:paraId="5452E915" w14:textId="77777777" w:rsidTr="00D819DE">
        <w:tc>
          <w:tcPr>
            <w:tcW w:w="1172" w:type="dxa"/>
            <w:vAlign w:val="center"/>
          </w:tcPr>
          <w:p w14:paraId="0F29AEF6" w14:textId="77777777" w:rsidR="00C85971" w:rsidRPr="000D715C" w:rsidRDefault="00C85971" w:rsidP="00D819DE">
            <w:pPr>
              <w:spacing w:after="200"/>
              <w:rPr>
                <w:rFonts w:ascii="Times New Roman" w:hAnsi="Times New Roman" w:cs="Times New Roman"/>
                <w:sz w:val="24"/>
              </w:rPr>
            </w:pPr>
            <w:r w:rsidRPr="000D715C">
              <w:rPr>
                <w:rFonts w:ascii="Times New Roman" w:hAnsi="Times New Roman"/>
                <w:sz w:val="24"/>
              </w:rPr>
              <w:t>85</w:t>
            </w:r>
          </w:p>
        </w:tc>
        <w:tc>
          <w:tcPr>
            <w:tcW w:w="7242" w:type="dxa"/>
            <w:vAlign w:val="center"/>
          </w:tcPr>
          <w:p w14:paraId="4D29D2C2" w14:textId="77777777"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Importo escluso dal capitale T2 in ragione del massimale (superamento del massimale dopo i rimborsi e le scadenze)</w:t>
            </w:r>
          </w:p>
          <w:p w14:paraId="58872994" w14:textId="1A3C5E9A" w:rsidR="00C85971" w:rsidRPr="000D715C" w:rsidRDefault="00C85971" w:rsidP="00D819DE">
            <w:pPr>
              <w:spacing w:after="200"/>
              <w:jc w:val="both"/>
              <w:rPr>
                <w:rFonts w:ascii="Times New Roman" w:hAnsi="Times New Roman" w:cs="Times New Roman"/>
                <w:sz w:val="24"/>
              </w:rPr>
            </w:pPr>
            <w:r w:rsidRPr="000D715C">
              <w:rPr>
                <w:rFonts w:ascii="Times New Roman" w:hAnsi="Times New Roman"/>
                <w:sz w:val="24"/>
              </w:rPr>
              <w:t>Importo escluso dal capitale T2 in ragione del massimale (superamento del massimale dopo i rimborsi e le scadenze), conformemente all</w:t>
            </w:r>
            <w:r w:rsidR="005424B9" w:rsidRPr="000D715C">
              <w:rPr>
                <w:rFonts w:ascii="Times New Roman" w:hAnsi="Times New Roman"/>
                <w:sz w:val="24"/>
              </w:rPr>
              <w:t>'</w:t>
            </w:r>
            <w:r w:rsidRPr="000D715C">
              <w:rPr>
                <w:rFonts w:ascii="Times New Roman" w:hAnsi="Times New Roman"/>
                <w:sz w:val="24"/>
              </w:rPr>
              <w:t>articolo</w:t>
            </w:r>
            <w:r w:rsidR="005424B9" w:rsidRPr="000D715C">
              <w:rPr>
                <w:rFonts w:ascii="Times New Roman" w:hAnsi="Times New Roman"/>
                <w:sz w:val="24"/>
              </w:rPr>
              <w:t> </w:t>
            </w:r>
            <w:r w:rsidRPr="000D715C">
              <w:rPr>
                <w:rFonts w:ascii="Times New Roman" w:hAnsi="Times New Roman"/>
                <w:sz w:val="24"/>
              </w:rPr>
              <w:t>484, paragrafo 5, e all</w:t>
            </w:r>
            <w:r w:rsidR="005424B9" w:rsidRPr="000D715C">
              <w:rPr>
                <w:rFonts w:ascii="Times New Roman" w:hAnsi="Times New Roman"/>
                <w:sz w:val="24"/>
              </w:rPr>
              <w:t>'</w:t>
            </w:r>
            <w:r w:rsidRPr="000D715C">
              <w:rPr>
                <w:rFonts w:ascii="Times New Roman" w:hAnsi="Times New Roman"/>
                <w:sz w:val="24"/>
              </w:rPr>
              <w:t>articolo 486, paragrafi 4 e 5, del CRR.</w:t>
            </w:r>
          </w:p>
        </w:tc>
      </w:tr>
    </w:tbl>
    <w:p w14:paraId="135650B7" w14:textId="77777777" w:rsidR="00C85971" w:rsidRPr="000D715C" w:rsidRDefault="00C85971" w:rsidP="00C85971">
      <w:pPr>
        <w:rPr>
          <w:rFonts w:ascii="Times New Roman" w:hAnsi="Times New Roman" w:cs="Times New Roman"/>
          <w:sz w:val="24"/>
        </w:rPr>
      </w:pPr>
    </w:p>
    <w:p w14:paraId="71633918" w14:textId="77777777" w:rsidR="00C85971" w:rsidRPr="000D715C" w:rsidRDefault="00C85971" w:rsidP="00C85971">
      <w:pPr>
        <w:rPr>
          <w:rFonts w:ascii="Times New Roman" w:hAnsi="Times New Roman" w:cs="Times New Roman"/>
          <w:sz w:val="24"/>
        </w:rPr>
      </w:pPr>
      <w:r w:rsidRPr="000D715C">
        <w:br w:type="page"/>
      </w:r>
    </w:p>
    <w:p w14:paraId="06924BE7" w14:textId="311BDC1A" w:rsidR="00C85971" w:rsidRPr="000D715C" w:rsidRDefault="00C85971" w:rsidP="00C85971">
      <w:pPr>
        <w:rPr>
          <w:rFonts w:ascii="Times New Roman" w:hAnsi="Times New Roman" w:cs="Times New Roman"/>
          <w:b/>
          <w:bCs/>
          <w:sz w:val="24"/>
        </w:rPr>
      </w:pPr>
      <w:r w:rsidRPr="000D715C">
        <w:rPr>
          <w:rFonts w:ascii="Times New Roman" w:hAnsi="Times New Roman"/>
          <w:b/>
          <w:sz w:val="24"/>
        </w:rPr>
        <w:lastRenderedPageBreak/>
        <w:t>Modello EU CC2: riconciliazione dei fondi propri regolamentari</w:t>
      </w:r>
      <w:r w:rsidR="000D715C">
        <w:rPr>
          <w:rFonts w:ascii="Times New Roman" w:hAnsi="Times New Roman"/>
          <w:b/>
          <w:sz w:val="24"/>
        </w:rPr>
        <w:br/>
      </w:r>
      <w:r w:rsidRPr="000D715C">
        <w:rPr>
          <w:rFonts w:ascii="Times New Roman" w:hAnsi="Times New Roman"/>
          <w:b/>
          <w:sz w:val="24"/>
        </w:rPr>
        <w:t>con lo stato patrimoniale nel bilancio sottoposto a revisione contabile</w:t>
      </w:r>
    </w:p>
    <w:p w14:paraId="35768BE6" w14:textId="77777777" w:rsidR="00C85971" w:rsidRPr="000D715C" w:rsidRDefault="00C85971" w:rsidP="00C85971">
      <w:pPr>
        <w:rPr>
          <w:rFonts w:ascii="Times New Roman" w:hAnsi="Times New Roman" w:cs="Times New Roman"/>
          <w:b/>
          <w:sz w:val="24"/>
        </w:rPr>
      </w:pPr>
    </w:p>
    <w:p w14:paraId="1FE1CC20" w14:textId="7DFA5B13" w:rsidR="00C85971" w:rsidRPr="000D715C" w:rsidRDefault="00C85971" w:rsidP="00C85971">
      <w:pPr>
        <w:numPr>
          <w:ilvl w:val="0"/>
          <w:numId w:val="2"/>
        </w:numPr>
        <w:spacing w:before="120" w:after="120"/>
        <w:ind w:left="357" w:hanging="357"/>
        <w:jc w:val="both"/>
        <w:rPr>
          <w:rFonts w:ascii="Times New Roman" w:hAnsi="Times New Roman" w:cs="Times New Roman"/>
          <w:bCs/>
          <w:sz w:val="24"/>
        </w:rPr>
      </w:pPr>
      <w:r w:rsidRPr="000D715C">
        <w:rPr>
          <w:rFonts w:ascii="Times New Roman" w:hAnsi="Times New Roman"/>
          <w:sz w:val="24"/>
        </w:rPr>
        <w:t>Gli enti pubblicano le informazioni di cui all</w:t>
      </w:r>
      <w:r w:rsidR="005424B9" w:rsidRPr="000D715C">
        <w:rPr>
          <w:rFonts w:ascii="Times New Roman" w:hAnsi="Times New Roman"/>
          <w:sz w:val="24"/>
        </w:rPr>
        <w:t>'</w:t>
      </w:r>
      <w:r w:rsidRPr="000D715C">
        <w:rPr>
          <w:rFonts w:ascii="Times New Roman" w:hAnsi="Times New Roman"/>
          <w:sz w:val="24"/>
        </w:rPr>
        <w:t>articolo 437, lettera a), del CRR seguendo le istruzioni fornite di seguito nel presente allegato per compilare il modello EU CC2 di cui all</w:t>
      </w:r>
      <w:r w:rsidR="005424B9" w:rsidRPr="000D715C">
        <w:rPr>
          <w:rFonts w:ascii="Times New Roman" w:hAnsi="Times New Roman"/>
          <w:sz w:val="24"/>
        </w:rPr>
        <w:t>'</w:t>
      </w:r>
      <w:r w:rsidRPr="000D715C">
        <w:rPr>
          <w:rFonts w:ascii="Times New Roman" w:hAnsi="Times New Roman"/>
          <w:sz w:val="24"/>
        </w:rPr>
        <w:t>allegato VII del presente regolamento di esecuzione.</w:t>
      </w:r>
    </w:p>
    <w:p w14:paraId="3460ABBC" w14:textId="6DFA0348" w:rsidR="00C85971" w:rsidRPr="000D715C" w:rsidRDefault="00C85971" w:rsidP="00C85971">
      <w:pPr>
        <w:numPr>
          <w:ilvl w:val="0"/>
          <w:numId w:val="2"/>
        </w:numPr>
        <w:spacing w:before="120" w:after="120"/>
        <w:ind w:left="357" w:hanging="357"/>
        <w:jc w:val="both"/>
        <w:rPr>
          <w:rFonts w:ascii="Times New Roman" w:hAnsi="Times New Roman" w:cs="Times New Roman"/>
          <w:bCs/>
          <w:sz w:val="24"/>
        </w:rPr>
      </w:pPr>
      <w:r w:rsidRPr="000D715C">
        <w:rPr>
          <w:rFonts w:ascii="Times New Roman" w:hAnsi="Times New Roman"/>
          <w:sz w:val="24"/>
        </w:rPr>
        <w:t>Gli enti pubblicano lo stato patrimoniale incluso nel bilancio pubblicato. Il bilancio è sottoposto a revisione contabile ai fini dell</w:t>
      </w:r>
      <w:r w:rsidR="005424B9" w:rsidRPr="000D715C">
        <w:rPr>
          <w:rFonts w:ascii="Times New Roman" w:hAnsi="Times New Roman"/>
          <w:sz w:val="24"/>
        </w:rPr>
        <w:t>'</w:t>
      </w:r>
      <w:r w:rsidRPr="000D715C">
        <w:rPr>
          <w:rFonts w:ascii="Times New Roman" w:hAnsi="Times New Roman"/>
          <w:sz w:val="24"/>
        </w:rPr>
        <w:t>informativa di fine esercizio.</w:t>
      </w:r>
    </w:p>
    <w:p w14:paraId="7BA92967" w14:textId="0AFE1016" w:rsidR="00C85971" w:rsidRPr="000D715C" w:rsidRDefault="00C85971" w:rsidP="00C85971">
      <w:pPr>
        <w:numPr>
          <w:ilvl w:val="0"/>
          <w:numId w:val="2"/>
        </w:numPr>
        <w:spacing w:before="120" w:after="120"/>
        <w:ind w:left="357" w:hanging="357"/>
        <w:jc w:val="both"/>
        <w:rPr>
          <w:rFonts w:ascii="Times New Roman" w:hAnsi="Times New Roman" w:cs="Times New Roman"/>
          <w:bCs/>
          <w:sz w:val="24"/>
        </w:rPr>
      </w:pPr>
      <w:r w:rsidRPr="000D715C">
        <w:rPr>
          <w:rFonts w:ascii="Times New Roman" w:hAnsi="Times New Roman"/>
          <w:sz w:val="24"/>
        </w:rPr>
        <w:t>Le righe del modello sono flessibili e sono pubblicate dagli enti conformemente al loro bilancio. Gli elementi dei fondi propri nei bilanci sottoposti a revisione contabile includono tutti gli elementi che sono componenti dei fondi propri regolamentari o che ne sono dedotti, tra cui patrimonio netto, passività quali debiti, o altre voci dello stato patrimoniale che influenzano i fondi propri regolamentari, quali attività immateriali, avviamento, attività fiscali differite. Gli enti espandono gli elementi dei fondi propri dello stato patrimoniale come necessario per assicurare che tutte le componenti incluse nel modello per l</w:t>
      </w:r>
      <w:r w:rsidR="005424B9" w:rsidRPr="000D715C">
        <w:rPr>
          <w:rFonts w:ascii="Times New Roman" w:hAnsi="Times New Roman"/>
          <w:sz w:val="24"/>
        </w:rPr>
        <w:t>'</w:t>
      </w:r>
      <w:r w:rsidRPr="000D715C">
        <w:rPr>
          <w:rFonts w:ascii="Times New Roman" w:hAnsi="Times New Roman"/>
          <w:sz w:val="24"/>
        </w:rPr>
        <w:t>informativa sulla composizione dei fondi propri (modello EU CC1) figurino separatamente. Gli enti espandono gli elementi dello stato patrimoniale solo fino al livello di granularità necessario per ricavare le componenti richieste dal modello EU</w:t>
      </w:r>
      <w:r w:rsidR="000D715C" w:rsidRPr="000D715C">
        <w:t> </w:t>
      </w:r>
      <w:r w:rsidRPr="000D715C">
        <w:rPr>
          <w:rFonts w:ascii="Times New Roman" w:hAnsi="Times New Roman"/>
          <w:sz w:val="24"/>
        </w:rPr>
        <w:t>CC1. L</w:t>
      </w:r>
      <w:r w:rsidR="005424B9" w:rsidRPr="000D715C">
        <w:rPr>
          <w:rFonts w:ascii="Times New Roman" w:hAnsi="Times New Roman"/>
          <w:sz w:val="24"/>
        </w:rPr>
        <w:t>'</w:t>
      </w:r>
      <w:r w:rsidRPr="000D715C">
        <w:rPr>
          <w:rFonts w:ascii="Times New Roman" w:hAnsi="Times New Roman"/>
          <w:sz w:val="24"/>
        </w:rPr>
        <w:t>informativa è proporzionata alla complessità dello stato patrimoniale dell</w:t>
      </w:r>
      <w:r w:rsidR="005424B9" w:rsidRPr="000D715C">
        <w:rPr>
          <w:rFonts w:ascii="Times New Roman" w:hAnsi="Times New Roman"/>
          <w:sz w:val="24"/>
        </w:rPr>
        <w:t>'</w:t>
      </w:r>
      <w:r w:rsidRPr="000D715C">
        <w:rPr>
          <w:rFonts w:ascii="Times New Roman" w:hAnsi="Times New Roman"/>
          <w:sz w:val="24"/>
        </w:rPr>
        <w:t>ente.</w:t>
      </w:r>
    </w:p>
    <w:p w14:paraId="23A65A04" w14:textId="77777777" w:rsidR="00C85971" w:rsidRPr="000D715C" w:rsidRDefault="00C85971" w:rsidP="00C85971">
      <w:pPr>
        <w:numPr>
          <w:ilvl w:val="0"/>
          <w:numId w:val="2"/>
        </w:numPr>
        <w:spacing w:before="120" w:after="120"/>
        <w:ind w:left="357" w:hanging="357"/>
        <w:jc w:val="both"/>
        <w:rPr>
          <w:rFonts w:ascii="Times New Roman" w:hAnsi="Times New Roman" w:cs="Times New Roman"/>
          <w:bCs/>
          <w:sz w:val="24"/>
        </w:rPr>
      </w:pPr>
      <w:r w:rsidRPr="000D715C">
        <w:rPr>
          <w:rFonts w:ascii="Times New Roman" w:hAnsi="Times New Roman"/>
          <w:sz w:val="24"/>
        </w:rPr>
        <w:t>Le colonne sono fisse e sono indicate come segue:</w:t>
      </w:r>
    </w:p>
    <w:p w14:paraId="3FD82033" w14:textId="28FEC667" w:rsidR="00C85971" w:rsidRPr="000D715C"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sidRPr="000D715C">
        <w:rPr>
          <w:rFonts w:ascii="Times New Roman" w:hAnsi="Times New Roman"/>
          <w:sz w:val="24"/>
        </w:rPr>
        <w:t>colonna a: gli enti riportano i dati dello stato patrimoniale incluso nel bilancio pubblicato conformemente all</w:t>
      </w:r>
      <w:r w:rsidR="005424B9" w:rsidRPr="000D715C">
        <w:rPr>
          <w:rFonts w:ascii="Times New Roman" w:hAnsi="Times New Roman"/>
          <w:sz w:val="24"/>
        </w:rPr>
        <w:t>'</w:t>
      </w:r>
      <w:r w:rsidRPr="000D715C">
        <w:rPr>
          <w:rFonts w:ascii="Times New Roman" w:hAnsi="Times New Roman"/>
          <w:sz w:val="24"/>
        </w:rPr>
        <w:t>ambito del consolidamento contabile;</w:t>
      </w:r>
    </w:p>
    <w:p w14:paraId="615808B6" w14:textId="262BF607" w:rsidR="00C85971" w:rsidRPr="000D715C"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sidRPr="000D715C">
        <w:rPr>
          <w:rFonts w:ascii="Times New Roman" w:hAnsi="Times New Roman"/>
          <w:sz w:val="24"/>
        </w:rPr>
        <w:t>colonna b: gli enti pubblicano le cifre corrispondenti all</w:t>
      </w:r>
      <w:r w:rsidR="005424B9" w:rsidRPr="000D715C">
        <w:rPr>
          <w:rFonts w:ascii="Times New Roman" w:hAnsi="Times New Roman"/>
          <w:sz w:val="24"/>
        </w:rPr>
        <w:t>'</w:t>
      </w:r>
      <w:r w:rsidRPr="000D715C">
        <w:rPr>
          <w:rFonts w:ascii="Times New Roman" w:hAnsi="Times New Roman"/>
          <w:sz w:val="24"/>
        </w:rPr>
        <w:t>ambito del consolidamento prudenziale;</w:t>
      </w:r>
    </w:p>
    <w:p w14:paraId="09531333" w14:textId="70DF5549" w:rsidR="00C85971" w:rsidRPr="000D715C"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sidRPr="000D715C">
        <w:rPr>
          <w:rFonts w:ascii="Times New Roman" w:hAnsi="Times New Roman"/>
          <w:sz w:val="24"/>
        </w:rPr>
        <w:t>colonna c: gli enti includono il riferimento incrociato tra la voce relativa ai fondi propri nel modello EU CC2 e le voci pertinenti nel modello per l</w:t>
      </w:r>
      <w:r w:rsidR="005424B9" w:rsidRPr="000D715C">
        <w:rPr>
          <w:rFonts w:ascii="Times New Roman" w:hAnsi="Times New Roman"/>
          <w:sz w:val="24"/>
        </w:rPr>
        <w:t>'</w:t>
      </w:r>
      <w:r w:rsidRPr="000D715C">
        <w:rPr>
          <w:rFonts w:ascii="Times New Roman" w:hAnsi="Times New Roman"/>
          <w:sz w:val="24"/>
        </w:rPr>
        <w:t>informativa sui fondi propri EU CC1. Il riferimento nella colonna c del modello EU CC2 sarà collegato al riferimento contenuto nella colonna b del modello EU CC1.</w:t>
      </w:r>
    </w:p>
    <w:p w14:paraId="53144047" w14:textId="4B089749" w:rsidR="00C85971" w:rsidRPr="000D715C" w:rsidRDefault="00C85971" w:rsidP="00C85971">
      <w:pPr>
        <w:numPr>
          <w:ilvl w:val="0"/>
          <w:numId w:val="2"/>
        </w:numPr>
        <w:spacing w:before="120" w:after="120"/>
        <w:ind w:left="357" w:hanging="357"/>
        <w:jc w:val="both"/>
        <w:rPr>
          <w:rFonts w:ascii="Times New Roman" w:hAnsi="Times New Roman" w:cs="Times New Roman"/>
          <w:bCs/>
          <w:sz w:val="24"/>
        </w:rPr>
      </w:pPr>
      <w:r w:rsidRPr="000D715C">
        <w:rPr>
          <w:rFonts w:ascii="Times New Roman" w:hAnsi="Times New Roman"/>
          <w:sz w:val="24"/>
        </w:rPr>
        <w:t xml:space="preserve"> Nei seguenti casi in cui l</w:t>
      </w:r>
      <w:r w:rsidR="005424B9" w:rsidRPr="000D715C">
        <w:rPr>
          <w:rFonts w:ascii="Times New Roman" w:hAnsi="Times New Roman"/>
          <w:sz w:val="24"/>
        </w:rPr>
        <w:t>'</w:t>
      </w:r>
      <w:r w:rsidRPr="000D715C">
        <w:rPr>
          <w:rFonts w:ascii="Times New Roman" w:hAnsi="Times New Roman"/>
          <w:sz w:val="24"/>
        </w:rPr>
        <w:t>ambito del consolidamento contabile degli enti e l</w:t>
      </w:r>
      <w:r w:rsidR="005424B9" w:rsidRPr="000D715C">
        <w:rPr>
          <w:rFonts w:ascii="Times New Roman" w:hAnsi="Times New Roman"/>
          <w:sz w:val="24"/>
        </w:rPr>
        <w:t>'</w:t>
      </w:r>
      <w:r w:rsidRPr="000D715C">
        <w:rPr>
          <w:rFonts w:ascii="Times New Roman" w:hAnsi="Times New Roman"/>
          <w:sz w:val="24"/>
        </w:rPr>
        <w:t>ambito del consolidamento prudenziale sono esattamente gli stessi, le colonne a) e b) di questo modello sono riunite e questo fatto è chiaramente indicato:</w:t>
      </w:r>
    </w:p>
    <w:p w14:paraId="4AF2B8D6" w14:textId="0FC454F5" w:rsidR="00C85971" w:rsidRPr="000D715C" w:rsidRDefault="00C85971" w:rsidP="00C85971">
      <w:pPr>
        <w:pStyle w:val="numberedparagraph"/>
        <w:numPr>
          <w:ilvl w:val="1"/>
          <w:numId w:val="3"/>
        </w:numPr>
        <w:spacing w:line="240" w:lineRule="auto"/>
        <w:ind w:left="709"/>
        <w:rPr>
          <w:rFonts w:ascii="Times New Roman" w:hAnsi="Times New Roman" w:cs="Times New Roman"/>
          <w:bCs/>
          <w:sz w:val="24"/>
        </w:rPr>
      </w:pPr>
      <w:r w:rsidRPr="000D715C">
        <w:rPr>
          <w:rFonts w:ascii="Times New Roman" w:hAnsi="Times New Roman"/>
          <w:sz w:val="24"/>
        </w:rPr>
        <w:t>quando gli enti rispettano gli obblighi di cui alla parte otto del CRR su base consolidata o subconsolidata, ma l</w:t>
      </w:r>
      <w:r w:rsidR="005424B9" w:rsidRPr="000D715C">
        <w:rPr>
          <w:rFonts w:ascii="Times New Roman" w:hAnsi="Times New Roman"/>
          <w:sz w:val="24"/>
        </w:rPr>
        <w:t>'</w:t>
      </w:r>
      <w:r w:rsidRPr="000D715C">
        <w:rPr>
          <w:rFonts w:ascii="Times New Roman" w:hAnsi="Times New Roman"/>
          <w:sz w:val="24"/>
        </w:rPr>
        <w:t>ambito e il metodo di consolidamento utilizzati per lo stato patrimoniale nel bilancio sono identici all</w:t>
      </w:r>
      <w:r w:rsidR="005424B9" w:rsidRPr="000D715C">
        <w:rPr>
          <w:rFonts w:ascii="Times New Roman" w:hAnsi="Times New Roman"/>
          <w:sz w:val="24"/>
        </w:rPr>
        <w:t>'</w:t>
      </w:r>
      <w:r w:rsidRPr="000D715C">
        <w:rPr>
          <w:rFonts w:ascii="Times New Roman" w:hAnsi="Times New Roman"/>
          <w:sz w:val="24"/>
        </w:rPr>
        <w:t>ambito e al metodo di consolidamento definiti in conformità della parte uno, titolo II, capo 2, del CRR, e gli enti dichiarano esplicitamente l</w:t>
      </w:r>
      <w:r w:rsidR="005424B9" w:rsidRPr="000D715C">
        <w:rPr>
          <w:rFonts w:ascii="Times New Roman" w:hAnsi="Times New Roman"/>
          <w:sz w:val="24"/>
        </w:rPr>
        <w:t>'</w:t>
      </w:r>
      <w:r w:rsidRPr="000D715C">
        <w:rPr>
          <w:rFonts w:ascii="Times New Roman" w:hAnsi="Times New Roman"/>
          <w:sz w:val="24"/>
        </w:rPr>
        <w:t>assenza di differenze tra i rispettivi ambiti e metodi di consolidamento;</w:t>
      </w:r>
    </w:p>
    <w:p w14:paraId="78AF9210" w14:textId="77777777" w:rsidR="00C85971" w:rsidRPr="000D715C" w:rsidRDefault="00C85971" w:rsidP="00C85971">
      <w:pPr>
        <w:pStyle w:val="numberedparagraph"/>
        <w:numPr>
          <w:ilvl w:val="1"/>
          <w:numId w:val="3"/>
        </w:numPr>
        <w:spacing w:line="240" w:lineRule="auto"/>
        <w:ind w:left="709"/>
        <w:rPr>
          <w:rFonts w:ascii="Times New Roman" w:hAnsi="Times New Roman" w:cs="Times New Roman"/>
          <w:bCs/>
          <w:sz w:val="24"/>
        </w:rPr>
      </w:pPr>
      <w:r w:rsidRPr="000D715C">
        <w:rPr>
          <w:rFonts w:ascii="Times New Roman" w:hAnsi="Times New Roman"/>
          <w:sz w:val="24"/>
        </w:rPr>
        <w:t>quando gli enti rispettano gli obblighi di cui alla parte otto del CRR su base individuale.</w:t>
      </w:r>
    </w:p>
    <w:p w14:paraId="028372CB" w14:textId="77777777" w:rsidR="00C85971" w:rsidRPr="000D715C" w:rsidRDefault="00C85971" w:rsidP="00C85971">
      <w:pPr>
        <w:pStyle w:val="ListParagraph"/>
        <w:rPr>
          <w:rFonts w:ascii="Times New Roman" w:hAnsi="Times New Roman"/>
          <w:bCs/>
          <w:sz w:val="24"/>
          <w:szCs w:val="24"/>
        </w:rPr>
      </w:pPr>
    </w:p>
    <w:p w14:paraId="07D77658" w14:textId="77777777" w:rsidR="00C85971" w:rsidRPr="000D715C" w:rsidRDefault="00C85971" w:rsidP="000D715C">
      <w:pPr>
        <w:keepNext/>
        <w:keepLines/>
        <w:rPr>
          <w:rFonts w:ascii="Times New Roman" w:hAnsi="Times New Roman" w:cs="Times New Roman"/>
          <w:b/>
          <w:bCs/>
          <w:sz w:val="24"/>
        </w:rPr>
      </w:pPr>
      <w:r w:rsidRPr="000D715C">
        <w:rPr>
          <w:rFonts w:ascii="Times New Roman" w:hAnsi="Times New Roman"/>
          <w:b/>
          <w:sz w:val="24"/>
        </w:rPr>
        <w:lastRenderedPageBreak/>
        <w:t>Tabella EU CCA: principali caratteristiche degli strumenti di fondi propri regolamentari e degli strumenti di passività ammissibili</w:t>
      </w:r>
    </w:p>
    <w:p w14:paraId="6FE3C1F8" w14:textId="77777777" w:rsidR="00C85971" w:rsidRPr="000D715C" w:rsidRDefault="00C85971" w:rsidP="000D715C">
      <w:pPr>
        <w:keepNext/>
        <w:keepLines/>
        <w:rPr>
          <w:rFonts w:ascii="Times New Roman" w:hAnsi="Times New Roman" w:cs="Times New Roman"/>
          <w:b/>
          <w:bCs/>
          <w:sz w:val="24"/>
        </w:rPr>
      </w:pPr>
    </w:p>
    <w:p w14:paraId="0F953A2D" w14:textId="5C331ADC" w:rsidR="00C85971" w:rsidRPr="000D715C" w:rsidRDefault="00C85971" w:rsidP="000D715C">
      <w:pPr>
        <w:keepNext/>
        <w:keepLines/>
        <w:numPr>
          <w:ilvl w:val="0"/>
          <w:numId w:val="2"/>
        </w:numPr>
        <w:spacing w:before="120" w:after="120"/>
        <w:ind w:left="357" w:hanging="357"/>
        <w:jc w:val="both"/>
        <w:rPr>
          <w:rFonts w:ascii="Times New Roman" w:hAnsi="Times New Roman" w:cs="Times New Roman"/>
          <w:bCs/>
          <w:sz w:val="24"/>
        </w:rPr>
      </w:pPr>
      <w:r w:rsidRPr="000D715C">
        <w:rPr>
          <w:rFonts w:ascii="Times New Roman" w:hAnsi="Times New Roman"/>
          <w:sz w:val="24"/>
        </w:rPr>
        <w:t>Gli enti pubblicano le informazioni di cui all</w:t>
      </w:r>
      <w:r w:rsidR="005424B9" w:rsidRPr="000D715C">
        <w:rPr>
          <w:rFonts w:ascii="Times New Roman" w:hAnsi="Times New Roman"/>
          <w:sz w:val="24"/>
        </w:rPr>
        <w:t>'</w:t>
      </w:r>
      <w:r w:rsidRPr="000D715C">
        <w:rPr>
          <w:rFonts w:ascii="Times New Roman" w:hAnsi="Times New Roman"/>
          <w:sz w:val="24"/>
        </w:rPr>
        <w:t>articolo 437, lettere b) e c), del CRR seguendo le istruzioni fornite di seguito nel presente allegato per compilare il modello EU CCA di cui all</w:t>
      </w:r>
      <w:r w:rsidR="005424B9" w:rsidRPr="000D715C">
        <w:rPr>
          <w:rFonts w:ascii="Times New Roman" w:hAnsi="Times New Roman"/>
          <w:sz w:val="24"/>
        </w:rPr>
        <w:t>'</w:t>
      </w:r>
      <w:r w:rsidRPr="000D715C">
        <w:rPr>
          <w:rFonts w:ascii="Times New Roman" w:hAnsi="Times New Roman"/>
          <w:sz w:val="24"/>
        </w:rPr>
        <w:t>allegato VII del presente regolamento di esecuzione.</w:t>
      </w:r>
    </w:p>
    <w:p w14:paraId="6AE59B0D" w14:textId="4D2ED59D" w:rsidR="00C85971" w:rsidRPr="000D715C" w:rsidRDefault="00C85971" w:rsidP="00C85971">
      <w:pPr>
        <w:numPr>
          <w:ilvl w:val="0"/>
          <w:numId w:val="2"/>
        </w:numPr>
        <w:spacing w:before="120" w:after="120"/>
        <w:ind w:left="357" w:hanging="357"/>
        <w:jc w:val="both"/>
        <w:rPr>
          <w:rFonts w:ascii="Times New Roman" w:hAnsi="Times New Roman" w:cs="Times New Roman"/>
          <w:bCs/>
          <w:sz w:val="24"/>
        </w:rPr>
      </w:pPr>
      <w:r w:rsidRPr="000D715C">
        <w:rPr>
          <w:rFonts w:ascii="Times New Roman" w:hAnsi="Times New Roman"/>
          <w:sz w:val="24"/>
        </w:rPr>
        <w:t>Gli enti compilano la tabella EU CCA per le seguenti categorie: strumenti di capitale primario di classe 1, strumenti di capitale aggiuntivo di classe 1, strumenti di capitale di classe 2 e, ai sensi dell</w:t>
      </w:r>
      <w:r w:rsidR="005424B9" w:rsidRPr="000D715C">
        <w:rPr>
          <w:rFonts w:ascii="Times New Roman" w:hAnsi="Times New Roman"/>
          <w:sz w:val="24"/>
        </w:rPr>
        <w:t>'</w:t>
      </w:r>
      <w:r w:rsidRPr="000D715C">
        <w:rPr>
          <w:rFonts w:ascii="Times New Roman" w:hAnsi="Times New Roman"/>
          <w:sz w:val="24"/>
        </w:rPr>
        <w:t>articolo 72 ter del CRR, strumenti di passività ammissibili.</w:t>
      </w:r>
    </w:p>
    <w:p w14:paraId="057A1F3D" w14:textId="77777777" w:rsidR="00C85971" w:rsidRPr="000D715C" w:rsidRDefault="00C85971" w:rsidP="00C85971">
      <w:pPr>
        <w:numPr>
          <w:ilvl w:val="0"/>
          <w:numId w:val="2"/>
        </w:numPr>
        <w:spacing w:before="120" w:after="120"/>
        <w:ind w:left="357" w:hanging="357"/>
        <w:jc w:val="both"/>
        <w:rPr>
          <w:rFonts w:ascii="Times New Roman" w:hAnsi="Times New Roman" w:cs="Times New Roman"/>
          <w:bCs/>
          <w:sz w:val="24"/>
        </w:rPr>
      </w:pPr>
      <w:r w:rsidRPr="000D715C">
        <w:rPr>
          <w:rFonts w:ascii="Times New Roman" w:hAnsi="Times New Roman"/>
          <w:sz w:val="24"/>
        </w:rPr>
        <w:t>Le tabelle comprendono colonne separate con le caratteristiche di ciascuno strumento regolamentare di fondi propri e di ciascuno strumento di passività ammissibili. Nei casi in cui differenti strumenti di capitale di una stessa categoria presentino caratteristiche identiche, gli enti possono compilare soltanto una colonna con tali caratteristiche identiche e indicare le emissioni a cui le caratteristiche identiche si riferiscono. Nel pubblicare le colonne relative a tali strumenti, gli enti le raggruppano in tre sezioni (orizzontalmente lungo la tabella) per indicare se siano destinate a soddisfare i) solo i requisiti di fondi propri (e non di passività ammissibili); ii) i requisiti di fondi propri e di passività ammissibili; oppure iii) solo i requisiti di passività ammissibili (e non di fondi propri).</w:t>
      </w:r>
      <w:r w:rsidRPr="000D715C">
        <w:tab/>
      </w:r>
    </w:p>
    <w:p w14:paraId="390D0EA6" w14:textId="77777777" w:rsidR="00C85971" w:rsidRPr="000D715C" w:rsidRDefault="00C85971" w:rsidP="00C85971">
      <w:pPr>
        <w:numPr>
          <w:ilvl w:val="0"/>
          <w:numId w:val="2"/>
        </w:numPr>
        <w:spacing w:before="120" w:after="120"/>
        <w:ind w:left="357" w:hanging="357"/>
        <w:jc w:val="both"/>
        <w:rPr>
          <w:rFonts w:ascii="Times New Roman" w:hAnsi="Times New Roman" w:cs="Times New Roman"/>
          <w:bCs/>
          <w:sz w:val="24"/>
        </w:rPr>
      </w:pPr>
      <w:r w:rsidRPr="000D715C">
        <w:rPr>
          <w:rFonts w:ascii="Times New Roman" w:hAnsi="Times New Roman"/>
          <w:sz w:val="24"/>
        </w:rPr>
        <w:t>In relazione agli strumenti di passività ammissibili che non sono subordinati alle passività escluse, gli enti indicano solo i titoli che sono strumenti finanziari fungibili e negoziabili, ad esclusione dei prestiti e dei depositi.</w:t>
      </w:r>
    </w:p>
    <w:p w14:paraId="44F7C594" w14:textId="77777777" w:rsidR="00C85971" w:rsidRPr="000D715C" w:rsidRDefault="00C85971" w:rsidP="00C85971">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
        <w:gridCol w:w="7661"/>
      </w:tblGrid>
      <w:tr w:rsidR="00C85971" w:rsidRPr="000D715C" w14:paraId="38E4F858" w14:textId="77777777" w:rsidTr="00D819DE">
        <w:trPr>
          <w:trHeight w:val="259"/>
        </w:trPr>
        <w:tc>
          <w:tcPr>
            <w:tcW w:w="8691" w:type="dxa"/>
            <w:gridSpan w:val="2"/>
            <w:shd w:val="clear" w:color="auto" w:fill="D9D9D9" w:themeFill="background1" w:themeFillShade="D9"/>
          </w:tcPr>
          <w:p w14:paraId="70639F58" w14:textId="77777777" w:rsidR="00C85971" w:rsidRPr="000D715C" w:rsidRDefault="00C85971" w:rsidP="00D819DE">
            <w:pPr>
              <w:rPr>
                <w:rFonts w:ascii="Times New Roman" w:eastAsia="Times New Roman" w:hAnsi="Times New Roman" w:cs="Times New Roman"/>
                <w:b/>
                <w:bCs/>
                <w:color w:val="000000"/>
                <w:sz w:val="24"/>
              </w:rPr>
            </w:pPr>
            <w:r w:rsidRPr="000D715C">
              <w:rPr>
                <w:rFonts w:ascii="Times New Roman" w:hAnsi="Times New Roman"/>
                <w:b/>
                <w:color w:val="000000"/>
                <w:sz w:val="24"/>
              </w:rPr>
              <w:t>Istruzioni per la compilazione della tabella delle caratteristiche principali degli strumenti di fondi propri regolamentari e degli strumenti di passività ammissibili</w:t>
            </w:r>
          </w:p>
        </w:tc>
      </w:tr>
      <w:tr w:rsidR="00C85971" w:rsidRPr="000D715C" w14:paraId="3175F974" w14:textId="77777777" w:rsidTr="00D819DE">
        <w:trPr>
          <w:trHeight w:val="259"/>
        </w:trPr>
        <w:tc>
          <w:tcPr>
            <w:tcW w:w="1030" w:type="dxa"/>
            <w:shd w:val="clear" w:color="auto" w:fill="D9D9D9" w:themeFill="background1" w:themeFillShade="D9"/>
            <w:vAlign w:val="center"/>
          </w:tcPr>
          <w:p w14:paraId="431807BC" w14:textId="77777777" w:rsidR="00C85971" w:rsidRPr="000D715C" w:rsidRDefault="00C85971" w:rsidP="00D819DE">
            <w:pPr>
              <w:rPr>
                <w:rFonts w:ascii="Times New Roman" w:eastAsia="Times New Roman" w:hAnsi="Times New Roman" w:cs="Times New Roman"/>
                <w:b/>
                <w:bCs/>
                <w:color w:val="000000"/>
                <w:sz w:val="24"/>
              </w:rPr>
            </w:pPr>
            <w:r w:rsidRPr="000D715C">
              <w:rPr>
                <w:rFonts w:ascii="Times New Roman" w:hAnsi="Times New Roman"/>
                <w:b/>
                <w:color w:val="000000"/>
                <w:sz w:val="24"/>
              </w:rPr>
              <w:t>Numero di riga</w:t>
            </w:r>
          </w:p>
        </w:tc>
        <w:tc>
          <w:tcPr>
            <w:tcW w:w="7661" w:type="dxa"/>
            <w:shd w:val="clear" w:color="auto" w:fill="D9D9D9" w:themeFill="background1" w:themeFillShade="D9"/>
            <w:noWrap/>
            <w:vAlign w:val="bottom"/>
          </w:tcPr>
          <w:p w14:paraId="0BED80E1" w14:textId="77777777" w:rsidR="00C85971" w:rsidRPr="000D715C" w:rsidRDefault="00C85971" w:rsidP="00D819DE">
            <w:pPr>
              <w:rPr>
                <w:rFonts w:ascii="Times New Roman" w:eastAsia="Times New Roman" w:hAnsi="Times New Roman" w:cs="Times New Roman"/>
                <w:b/>
                <w:bCs/>
                <w:color w:val="000000"/>
                <w:sz w:val="24"/>
              </w:rPr>
            </w:pPr>
            <w:r w:rsidRPr="000D715C">
              <w:rPr>
                <w:rFonts w:ascii="Times New Roman" w:hAnsi="Times New Roman"/>
                <w:b/>
                <w:color w:val="000000"/>
                <w:sz w:val="24"/>
              </w:rPr>
              <w:t>Spiegazione</w:t>
            </w:r>
          </w:p>
        </w:tc>
      </w:tr>
      <w:tr w:rsidR="00C85971" w:rsidRPr="000D715C" w14:paraId="528AC325" w14:textId="77777777" w:rsidTr="00D819DE">
        <w:trPr>
          <w:trHeight w:val="259"/>
        </w:trPr>
        <w:tc>
          <w:tcPr>
            <w:tcW w:w="1030" w:type="dxa"/>
            <w:vAlign w:val="center"/>
          </w:tcPr>
          <w:p w14:paraId="15EF9615" w14:textId="77777777" w:rsidR="00C85971" w:rsidRPr="000D715C" w:rsidRDefault="00C85971" w:rsidP="00D819DE">
            <w:pPr>
              <w:spacing w:after="200" w:line="276" w:lineRule="auto"/>
              <w:rPr>
                <w:rFonts w:ascii="Times New Roman" w:eastAsia="Times New Roman" w:hAnsi="Times New Roman" w:cs="Times New Roman"/>
                <w:sz w:val="24"/>
              </w:rPr>
            </w:pPr>
            <w:r w:rsidRPr="000D715C">
              <w:rPr>
                <w:rFonts w:ascii="Times New Roman" w:hAnsi="Times New Roman"/>
                <w:sz w:val="24"/>
              </w:rPr>
              <w:t>1</w:t>
            </w:r>
          </w:p>
        </w:tc>
        <w:tc>
          <w:tcPr>
            <w:tcW w:w="7661" w:type="dxa"/>
            <w:shd w:val="clear" w:color="auto" w:fill="auto"/>
            <w:noWrap/>
            <w:vAlign w:val="bottom"/>
          </w:tcPr>
          <w:p w14:paraId="235D6D49" w14:textId="77777777"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Emittente</w:t>
            </w:r>
          </w:p>
          <w:p w14:paraId="52365233" w14:textId="7646B90F"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Gli enti indicano la denominazione giuridica dell</w:t>
            </w:r>
            <w:r w:rsidR="005424B9" w:rsidRPr="000D715C">
              <w:rPr>
                <w:rFonts w:ascii="Times New Roman" w:hAnsi="Times New Roman"/>
                <w:sz w:val="24"/>
              </w:rPr>
              <w:t>'</w:t>
            </w:r>
            <w:r w:rsidRPr="000D715C">
              <w:rPr>
                <w:rFonts w:ascii="Times New Roman" w:hAnsi="Times New Roman"/>
                <w:sz w:val="24"/>
              </w:rPr>
              <w:t>emittente.</w:t>
            </w:r>
          </w:p>
          <w:p w14:paraId="08FC4FB7" w14:textId="77777777" w:rsidR="00C85971" w:rsidRPr="000D715C" w:rsidRDefault="00C85971" w:rsidP="00D819DE">
            <w:pPr>
              <w:spacing w:after="200"/>
              <w:jc w:val="both"/>
              <w:rPr>
                <w:rFonts w:ascii="Times New Roman" w:eastAsia="Times New Roman" w:hAnsi="Times New Roman" w:cs="Times New Roman"/>
                <w:i/>
                <w:sz w:val="24"/>
              </w:rPr>
            </w:pPr>
            <w:r w:rsidRPr="000D715C">
              <w:rPr>
                <w:rFonts w:ascii="Times New Roman" w:hAnsi="Times New Roman"/>
                <w:i/>
                <w:sz w:val="24"/>
              </w:rPr>
              <w:t>Testo libero</w:t>
            </w:r>
          </w:p>
        </w:tc>
      </w:tr>
      <w:tr w:rsidR="00C85971" w:rsidRPr="000D715C" w14:paraId="391998EF" w14:textId="77777777" w:rsidTr="00D819DE">
        <w:trPr>
          <w:trHeight w:val="259"/>
        </w:trPr>
        <w:tc>
          <w:tcPr>
            <w:tcW w:w="1030" w:type="dxa"/>
            <w:vAlign w:val="center"/>
          </w:tcPr>
          <w:p w14:paraId="306D4DF7" w14:textId="77777777" w:rsidR="00C85971" w:rsidRPr="000D715C" w:rsidRDefault="00C85971" w:rsidP="00D819DE">
            <w:pPr>
              <w:spacing w:after="200" w:line="276" w:lineRule="auto"/>
              <w:rPr>
                <w:rFonts w:ascii="Times New Roman" w:eastAsia="Times New Roman" w:hAnsi="Times New Roman" w:cs="Times New Roman"/>
                <w:sz w:val="24"/>
              </w:rPr>
            </w:pPr>
            <w:r w:rsidRPr="000D715C">
              <w:rPr>
                <w:rFonts w:ascii="Times New Roman" w:hAnsi="Times New Roman"/>
                <w:sz w:val="24"/>
              </w:rPr>
              <w:t>2</w:t>
            </w:r>
          </w:p>
        </w:tc>
        <w:tc>
          <w:tcPr>
            <w:tcW w:w="7661" w:type="dxa"/>
            <w:shd w:val="clear" w:color="auto" w:fill="auto"/>
            <w:noWrap/>
            <w:vAlign w:val="bottom"/>
          </w:tcPr>
          <w:p w14:paraId="6C54C94E" w14:textId="77777777"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Identificativo unico (ad es. CUSIP, ISIN o Bloomberg per i collocamenti privati).</w:t>
            </w:r>
          </w:p>
          <w:p w14:paraId="0BBBA79B" w14:textId="77777777"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i/>
                <w:sz w:val="24"/>
              </w:rPr>
              <w:t>Testo libero</w:t>
            </w:r>
          </w:p>
        </w:tc>
      </w:tr>
      <w:tr w:rsidR="00C85971" w:rsidRPr="000D715C" w14:paraId="78AC88E5" w14:textId="77777777" w:rsidTr="00D819DE">
        <w:trPr>
          <w:trHeight w:val="259"/>
        </w:trPr>
        <w:tc>
          <w:tcPr>
            <w:tcW w:w="1030" w:type="dxa"/>
            <w:vAlign w:val="center"/>
          </w:tcPr>
          <w:p w14:paraId="260CE86F" w14:textId="77777777" w:rsidR="00C85971" w:rsidRPr="000D715C" w:rsidRDefault="00C85971" w:rsidP="00D819DE">
            <w:pPr>
              <w:spacing w:after="200" w:line="276" w:lineRule="auto"/>
              <w:rPr>
                <w:rFonts w:ascii="Times New Roman" w:eastAsia="Times New Roman" w:hAnsi="Times New Roman" w:cs="Times New Roman"/>
                <w:sz w:val="24"/>
              </w:rPr>
            </w:pPr>
            <w:r w:rsidRPr="000D715C">
              <w:rPr>
                <w:rFonts w:ascii="Times New Roman" w:hAnsi="Times New Roman"/>
                <w:sz w:val="24"/>
              </w:rPr>
              <w:t>EU-2a</w:t>
            </w:r>
          </w:p>
        </w:tc>
        <w:tc>
          <w:tcPr>
            <w:tcW w:w="7661" w:type="dxa"/>
            <w:shd w:val="clear" w:color="auto" w:fill="auto"/>
            <w:noWrap/>
            <w:vAlign w:val="bottom"/>
          </w:tcPr>
          <w:p w14:paraId="583DBB78" w14:textId="77777777" w:rsidR="00C85971" w:rsidRPr="000D715C" w:rsidRDefault="00C85971" w:rsidP="00D819DE">
            <w:pPr>
              <w:autoSpaceDE w:val="0"/>
              <w:autoSpaceDN w:val="0"/>
              <w:adjustRightInd w:val="0"/>
              <w:spacing w:after="200"/>
              <w:jc w:val="both"/>
              <w:rPr>
                <w:rFonts w:ascii="Times New Roman" w:eastAsia="Times New Roman" w:hAnsi="Times New Roman" w:cs="Times New Roman"/>
                <w:sz w:val="24"/>
              </w:rPr>
            </w:pPr>
            <w:r w:rsidRPr="000D715C">
              <w:rPr>
                <w:rFonts w:ascii="Times New Roman" w:hAnsi="Times New Roman"/>
                <w:sz w:val="24"/>
              </w:rPr>
              <w:t>Collocamento pubblico o privato</w:t>
            </w:r>
          </w:p>
          <w:p w14:paraId="534DDFEE" w14:textId="77777777" w:rsidR="00C85971" w:rsidRPr="000D715C" w:rsidRDefault="00C85971" w:rsidP="00D819DE">
            <w:pPr>
              <w:autoSpaceDE w:val="0"/>
              <w:autoSpaceDN w:val="0"/>
              <w:adjustRightInd w:val="0"/>
              <w:spacing w:after="200"/>
              <w:jc w:val="both"/>
              <w:rPr>
                <w:rFonts w:ascii="Times New Roman" w:eastAsia="Times New Roman" w:hAnsi="Times New Roman" w:cs="Times New Roman"/>
                <w:sz w:val="24"/>
              </w:rPr>
            </w:pPr>
            <w:r w:rsidRPr="000D715C">
              <w:rPr>
                <w:rFonts w:ascii="Times New Roman" w:hAnsi="Times New Roman"/>
                <w:sz w:val="24"/>
              </w:rPr>
              <w:t>Gli enti specificano se lo strumento è stato collocato pubblicamente o privatamente.</w:t>
            </w:r>
          </w:p>
          <w:p w14:paraId="6D949888" w14:textId="77777777"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i/>
                <w:sz w:val="24"/>
              </w:rPr>
              <w:t>Selezionare dal menu: [Pubblico] [Privato]</w:t>
            </w:r>
          </w:p>
        </w:tc>
      </w:tr>
      <w:tr w:rsidR="00C85971" w:rsidRPr="000D715C" w14:paraId="4C34C27E" w14:textId="77777777" w:rsidTr="00D819DE">
        <w:trPr>
          <w:trHeight w:val="259"/>
        </w:trPr>
        <w:tc>
          <w:tcPr>
            <w:tcW w:w="1030" w:type="dxa"/>
            <w:vAlign w:val="center"/>
          </w:tcPr>
          <w:p w14:paraId="0E0CC430" w14:textId="77777777" w:rsidR="00C85971" w:rsidRPr="000D715C" w:rsidRDefault="00C85971" w:rsidP="000D715C">
            <w:pPr>
              <w:keepNext/>
              <w:keepLines/>
              <w:spacing w:after="200" w:line="276" w:lineRule="auto"/>
              <w:rPr>
                <w:rFonts w:ascii="Times New Roman" w:eastAsia="Times New Roman" w:hAnsi="Times New Roman" w:cs="Times New Roman"/>
                <w:sz w:val="24"/>
              </w:rPr>
            </w:pPr>
            <w:r w:rsidRPr="000D715C">
              <w:rPr>
                <w:rFonts w:ascii="Times New Roman" w:hAnsi="Times New Roman"/>
                <w:sz w:val="24"/>
              </w:rPr>
              <w:lastRenderedPageBreak/>
              <w:t>3</w:t>
            </w:r>
          </w:p>
        </w:tc>
        <w:tc>
          <w:tcPr>
            <w:tcW w:w="7661" w:type="dxa"/>
            <w:shd w:val="clear" w:color="auto" w:fill="auto"/>
            <w:noWrap/>
            <w:vAlign w:val="bottom"/>
          </w:tcPr>
          <w:p w14:paraId="1ACF16D1" w14:textId="77777777" w:rsidR="00C85971" w:rsidRPr="000D715C" w:rsidRDefault="00C85971" w:rsidP="000D715C">
            <w:pPr>
              <w:keepNext/>
              <w:keepLines/>
              <w:autoSpaceDE w:val="0"/>
              <w:autoSpaceDN w:val="0"/>
              <w:adjustRightInd w:val="0"/>
              <w:spacing w:after="200"/>
              <w:jc w:val="both"/>
              <w:rPr>
                <w:rFonts w:ascii="Times New Roman" w:eastAsia="Times New Roman" w:hAnsi="Times New Roman" w:cs="Times New Roman"/>
                <w:sz w:val="24"/>
              </w:rPr>
            </w:pPr>
            <w:r w:rsidRPr="000D715C">
              <w:rPr>
                <w:rFonts w:ascii="Times New Roman" w:hAnsi="Times New Roman"/>
                <w:sz w:val="24"/>
              </w:rPr>
              <w:t>Legislazione applicabile allo strumento</w:t>
            </w:r>
          </w:p>
          <w:p w14:paraId="15AB1E4E" w14:textId="77777777" w:rsidR="00C85971" w:rsidRPr="000D715C" w:rsidRDefault="00C85971" w:rsidP="000D715C">
            <w:pPr>
              <w:keepNext/>
              <w:keepLines/>
              <w:autoSpaceDE w:val="0"/>
              <w:autoSpaceDN w:val="0"/>
              <w:adjustRightInd w:val="0"/>
              <w:spacing w:after="200"/>
              <w:jc w:val="both"/>
              <w:rPr>
                <w:rFonts w:ascii="Times New Roman" w:eastAsia="Times New Roman" w:hAnsi="Times New Roman" w:cs="Times New Roman"/>
                <w:sz w:val="24"/>
              </w:rPr>
            </w:pPr>
            <w:r w:rsidRPr="000D715C">
              <w:rPr>
                <w:rFonts w:ascii="Times New Roman" w:hAnsi="Times New Roman"/>
                <w:sz w:val="24"/>
              </w:rPr>
              <w:t xml:space="preserve">Gli enti specificano la legislazione che disciplina lo strumento. </w:t>
            </w:r>
          </w:p>
          <w:p w14:paraId="60B649A9" w14:textId="77777777" w:rsidR="00C85971" w:rsidRPr="000D715C" w:rsidRDefault="00C85971" w:rsidP="000D715C">
            <w:pPr>
              <w:keepNext/>
              <w:keepLines/>
              <w:spacing w:after="200"/>
              <w:jc w:val="both"/>
              <w:rPr>
                <w:rFonts w:ascii="Times New Roman" w:eastAsia="Times New Roman" w:hAnsi="Times New Roman" w:cs="Times New Roman"/>
                <w:i/>
                <w:sz w:val="24"/>
              </w:rPr>
            </w:pPr>
            <w:r w:rsidRPr="000D715C">
              <w:rPr>
                <w:rFonts w:ascii="Times New Roman" w:hAnsi="Times New Roman"/>
                <w:i/>
                <w:sz w:val="24"/>
              </w:rPr>
              <w:t xml:space="preserve">Testo libero </w:t>
            </w:r>
          </w:p>
        </w:tc>
      </w:tr>
      <w:tr w:rsidR="00C85971" w:rsidRPr="000D715C" w14:paraId="4D60C6D1" w14:textId="77777777" w:rsidTr="00D819DE">
        <w:trPr>
          <w:trHeight w:val="259"/>
        </w:trPr>
        <w:tc>
          <w:tcPr>
            <w:tcW w:w="1030" w:type="dxa"/>
            <w:vAlign w:val="center"/>
          </w:tcPr>
          <w:p w14:paraId="1F163D68" w14:textId="77777777" w:rsidR="00C85971" w:rsidRPr="000D715C" w:rsidRDefault="00C85971" w:rsidP="00D819DE">
            <w:pPr>
              <w:spacing w:after="200" w:line="276" w:lineRule="auto"/>
              <w:rPr>
                <w:rFonts w:ascii="Times New Roman" w:eastAsia="Times New Roman" w:hAnsi="Times New Roman" w:cs="Times New Roman"/>
                <w:sz w:val="24"/>
              </w:rPr>
            </w:pPr>
            <w:r w:rsidRPr="000D715C">
              <w:rPr>
                <w:rFonts w:ascii="Times New Roman" w:hAnsi="Times New Roman"/>
                <w:sz w:val="24"/>
              </w:rPr>
              <w:t>3a</w:t>
            </w:r>
          </w:p>
        </w:tc>
        <w:tc>
          <w:tcPr>
            <w:tcW w:w="7661" w:type="dxa"/>
            <w:shd w:val="clear" w:color="auto" w:fill="auto"/>
            <w:noWrap/>
            <w:vAlign w:val="bottom"/>
          </w:tcPr>
          <w:p w14:paraId="333E8C42" w14:textId="77777777" w:rsidR="00C85971" w:rsidRPr="000D715C" w:rsidRDefault="00C85971" w:rsidP="00D819DE">
            <w:pPr>
              <w:autoSpaceDE w:val="0"/>
              <w:autoSpaceDN w:val="0"/>
              <w:adjustRightInd w:val="0"/>
              <w:spacing w:after="200"/>
              <w:jc w:val="both"/>
              <w:rPr>
                <w:rFonts w:ascii="Times New Roman" w:eastAsia="Times New Roman" w:hAnsi="Times New Roman" w:cs="Times New Roman"/>
                <w:sz w:val="24"/>
              </w:rPr>
            </w:pPr>
            <w:r w:rsidRPr="000D715C">
              <w:rPr>
                <w:rFonts w:ascii="Times New Roman" w:hAnsi="Times New Roman"/>
                <w:sz w:val="24"/>
              </w:rPr>
              <w:t>Riconoscimento contrattuale dei poteri di svalutazione e di conversione delle autorità di risoluzione</w:t>
            </w:r>
          </w:p>
          <w:p w14:paraId="019792C7" w14:textId="60E97837" w:rsidR="00C85971" w:rsidRPr="000D715C" w:rsidRDefault="00C85971" w:rsidP="00D819DE">
            <w:pPr>
              <w:autoSpaceDE w:val="0"/>
              <w:autoSpaceDN w:val="0"/>
              <w:adjustRightInd w:val="0"/>
              <w:spacing w:after="200"/>
              <w:jc w:val="both"/>
              <w:rPr>
                <w:rFonts w:ascii="Times New Roman" w:eastAsia="Times New Roman" w:hAnsi="Times New Roman" w:cs="Times New Roman"/>
                <w:sz w:val="24"/>
              </w:rPr>
            </w:pPr>
            <w:r w:rsidRPr="000D715C">
              <w:rPr>
                <w:rFonts w:ascii="Times New Roman" w:hAnsi="Times New Roman"/>
                <w:sz w:val="24"/>
              </w:rPr>
              <w:t>Gli enti specificano se lo strumento contiene una clausola in base alla quale, su decisione di un</w:t>
            </w:r>
            <w:r w:rsidR="005424B9" w:rsidRPr="000D715C">
              <w:rPr>
                <w:rFonts w:ascii="Times New Roman" w:hAnsi="Times New Roman"/>
                <w:sz w:val="24"/>
              </w:rPr>
              <w:t>'</w:t>
            </w:r>
            <w:r w:rsidRPr="000D715C">
              <w:rPr>
                <w:rFonts w:ascii="Times New Roman" w:hAnsi="Times New Roman"/>
                <w:sz w:val="24"/>
              </w:rPr>
              <w:t>autorità di risoluzione o di un</w:t>
            </w:r>
            <w:r w:rsidR="005424B9" w:rsidRPr="000D715C">
              <w:rPr>
                <w:rFonts w:ascii="Times New Roman" w:hAnsi="Times New Roman"/>
                <w:sz w:val="24"/>
              </w:rPr>
              <w:t>'</w:t>
            </w:r>
            <w:r w:rsidRPr="000D715C">
              <w:rPr>
                <w:rFonts w:ascii="Times New Roman" w:hAnsi="Times New Roman"/>
                <w:sz w:val="24"/>
              </w:rPr>
              <w:t>autorità competente di un paese terzo, il valore nominale dello strumento deve essere svalutato su base permanente o lo strumento deve essere convertito in uno strumento di capitale primario di classe 1, ai sensi, se del caso, delle seguenti disposizioni:</w:t>
            </w:r>
          </w:p>
          <w:p w14:paraId="2EE684C1" w14:textId="14EF65DF" w:rsidR="00C85971" w:rsidRPr="000D715C" w:rsidRDefault="00C85971" w:rsidP="00D819DE">
            <w:pPr>
              <w:autoSpaceDE w:val="0"/>
              <w:autoSpaceDN w:val="0"/>
              <w:adjustRightInd w:val="0"/>
              <w:spacing w:after="200"/>
              <w:jc w:val="both"/>
              <w:rPr>
                <w:rFonts w:ascii="Times New Roman" w:eastAsia="Times New Roman" w:hAnsi="Times New Roman" w:cs="Times New Roman"/>
                <w:sz w:val="24"/>
              </w:rPr>
            </w:pPr>
            <w:r w:rsidRPr="000D715C">
              <w:rPr>
                <w:rFonts w:ascii="Times New Roman" w:hAnsi="Times New Roman"/>
                <w:sz w:val="24"/>
              </w:rPr>
              <w:t>- in relazione agli strumenti di capitale aggiuntivo di classe 1, l</w:t>
            </w:r>
            <w:r w:rsidR="005424B9" w:rsidRPr="000D715C">
              <w:rPr>
                <w:rFonts w:ascii="Times New Roman" w:hAnsi="Times New Roman"/>
                <w:sz w:val="24"/>
              </w:rPr>
              <w:t>'</w:t>
            </w:r>
            <w:r w:rsidRPr="000D715C">
              <w:rPr>
                <w:rFonts w:ascii="Times New Roman" w:hAnsi="Times New Roman"/>
                <w:sz w:val="24"/>
              </w:rPr>
              <w:t>articolo 52, paragrafo 1, lettera p), del CRR;</w:t>
            </w:r>
          </w:p>
          <w:p w14:paraId="5C7FBD40" w14:textId="5D293114" w:rsidR="00C85971" w:rsidRPr="000D715C" w:rsidRDefault="00C85971" w:rsidP="00D819DE">
            <w:pPr>
              <w:autoSpaceDE w:val="0"/>
              <w:autoSpaceDN w:val="0"/>
              <w:adjustRightInd w:val="0"/>
              <w:spacing w:after="200"/>
              <w:jc w:val="both"/>
              <w:rPr>
                <w:rFonts w:ascii="Times New Roman" w:eastAsia="Times New Roman" w:hAnsi="Times New Roman" w:cs="Times New Roman"/>
                <w:sz w:val="24"/>
              </w:rPr>
            </w:pPr>
            <w:r w:rsidRPr="000D715C">
              <w:rPr>
                <w:rFonts w:ascii="Times New Roman" w:hAnsi="Times New Roman"/>
                <w:sz w:val="24"/>
              </w:rPr>
              <w:t>- in relazione agli strumenti di capitale di classe 2, l</w:t>
            </w:r>
            <w:r w:rsidR="005424B9" w:rsidRPr="000D715C">
              <w:rPr>
                <w:rFonts w:ascii="Times New Roman" w:hAnsi="Times New Roman"/>
                <w:sz w:val="24"/>
              </w:rPr>
              <w:t>'</w:t>
            </w:r>
            <w:r w:rsidRPr="000D715C">
              <w:rPr>
                <w:rFonts w:ascii="Times New Roman" w:hAnsi="Times New Roman"/>
                <w:sz w:val="24"/>
              </w:rPr>
              <w:t>articolo 63, lettera n) o lettera o), del CRR;</w:t>
            </w:r>
          </w:p>
          <w:p w14:paraId="2B8C1D20" w14:textId="6A95488F" w:rsidR="00C85971" w:rsidRPr="000D715C" w:rsidRDefault="00C85971" w:rsidP="00D819DE">
            <w:pPr>
              <w:autoSpaceDE w:val="0"/>
              <w:autoSpaceDN w:val="0"/>
              <w:adjustRightInd w:val="0"/>
              <w:spacing w:after="200"/>
              <w:jc w:val="both"/>
              <w:rPr>
                <w:rFonts w:ascii="Times New Roman" w:eastAsia="Times New Roman" w:hAnsi="Times New Roman" w:cs="Times New Roman"/>
                <w:sz w:val="24"/>
              </w:rPr>
            </w:pPr>
            <w:r w:rsidRPr="000D715C">
              <w:rPr>
                <w:rFonts w:ascii="Times New Roman" w:hAnsi="Times New Roman"/>
                <w:sz w:val="24"/>
              </w:rPr>
              <w:t>- in relazione alle passività ammissibili, l</w:t>
            </w:r>
            <w:r w:rsidR="005424B9" w:rsidRPr="000D715C">
              <w:rPr>
                <w:rFonts w:ascii="Times New Roman" w:hAnsi="Times New Roman"/>
                <w:sz w:val="24"/>
              </w:rPr>
              <w:t>'</w:t>
            </w:r>
            <w:r w:rsidRPr="000D715C">
              <w:rPr>
                <w:rFonts w:ascii="Times New Roman" w:hAnsi="Times New Roman"/>
                <w:sz w:val="24"/>
              </w:rPr>
              <w:t>articolo 72 ter, paragrafo</w:t>
            </w:r>
            <w:r w:rsidR="005424B9" w:rsidRPr="000D715C">
              <w:rPr>
                <w:rFonts w:ascii="Times New Roman" w:hAnsi="Times New Roman"/>
                <w:sz w:val="24"/>
              </w:rPr>
              <w:t> </w:t>
            </w:r>
            <w:r w:rsidRPr="000D715C">
              <w:rPr>
                <w:rFonts w:ascii="Times New Roman" w:hAnsi="Times New Roman"/>
                <w:sz w:val="24"/>
              </w:rPr>
              <w:t>2, lettera</w:t>
            </w:r>
            <w:r w:rsidR="005424B9" w:rsidRPr="000D715C">
              <w:rPr>
                <w:rFonts w:ascii="Times New Roman" w:hAnsi="Times New Roman"/>
                <w:sz w:val="24"/>
              </w:rPr>
              <w:t> </w:t>
            </w:r>
            <w:r w:rsidRPr="000D715C">
              <w:rPr>
                <w:rFonts w:ascii="Times New Roman" w:hAnsi="Times New Roman"/>
                <w:sz w:val="24"/>
              </w:rPr>
              <w:t>n), del CRR;</w:t>
            </w:r>
          </w:p>
          <w:p w14:paraId="394620C1" w14:textId="302F28E0" w:rsidR="00C85971" w:rsidRPr="000D715C" w:rsidRDefault="00C85971" w:rsidP="00D819DE">
            <w:pPr>
              <w:autoSpaceDE w:val="0"/>
              <w:autoSpaceDN w:val="0"/>
              <w:adjustRightInd w:val="0"/>
              <w:spacing w:after="200"/>
              <w:jc w:val="both"/>
              <w:rPr>
                <w:rFonts w:ascii="Times New Roman" w:eastAsia="Times New Roman" w:hAnsi="Times New Roman" w:cs="Times New Roman"/>
                <w:sz w:val="24"/>
              </w:rPr>
            </w:pPr>
            <w:r w:rsidRPr="000D715C">
              <w:rPr>
                <w:rFonts w:ascii="Times New Roman" w:hAnsi="Times New Roman"/>
                <w:sz w:val="24"/>
              </w:rPr>
              <w:t>- in relazione a uno qualsiasi dei punti precedenti disciplinato dal diritto di paesi terzi, l</w:t>
            </w:r>
            <w:r w:rsidR="005424B9" w:rsidRPr="000D715C">
              <w:rPr>
                <w:rFonts w:ascii="Times New Roman" w:hAnsi="Times New Roman"/>
                <w:sz w:val="24"/>
              </w:rPr>
              <w:t>'</w:t>
            </w:r>
            <w:r w:rsidRPr="000D715C">
              <w:rPr>
                <w:rFonts w:ascii="Times New Roman" w:hAnsi="Times New Roman"/>
                <w:sz w:val="24"/>
              </w:rPr>
              <w:t>articolo 55 della direttiva (UE) 2019/879</w:t>
            </w:r>
            <w:r w:rsidRPr="000D715C">
              <w:rPr>
                <w:rStyle w:val="FootnoteReference"/>
                <w:rFonts w:ascii="Times New Roman" w:eastAsia="Times New Roman" w:hAnsi="Times New Roman" w:cs="Times New Roman"/>
                <w:sz w:val="24"/>
                <w:lang w:eastAsia="en-GB"/>
              </w:rPr>
              <w:footnoteReference w:id="3"/>
            </w:r>
            <w:r w:rsidRPr="000D715C">
              <w:rPr>
                <w:rFonts w:ascii="Times New Roman" w:hAnsi="Times New Roman"/>
                <w:sz w:val="24"/>
              </w:rPr>
              <w:t>.</w:t>
            </w:r>
          </w:p>
          <w:p w14:paraId="52635491" w14:textId="5B87E07B" w:rsidR="00C85971" w:rsidRPr="000D715C" w:rsidRDefault="00C85971" w:rsidP="00D819DE">
            <w:pPr>
              <w:spacing w:after="200"/>
              <w:jc w:val="both"/>
              <w:rPr>
                <w:rFonts w:ascii="Times New Roman" w:eastAsia="Times New Roman" w:hAnsi="Times New Roman" w:cs="Times New Roman"/>
                <w:i/>
                <w:sz w:val="24"/>
              </w:rPr>
            </w:pPr>
            <w:r w:rsidRPr="000D715C">
              <w:rPr>
                <w:rFonts w:ascii="Times New Roman" w:hAnsi="Times New Roman"/>
                <w:i/>
                <w:sz w:val="24"/>
              </w:rPr>
              <w:t>La svalutazione e la conversione possono essere entrambe conformi all</w:t>
            </w:r>
            <w:r w:rsidR="005424B9" w:rsidRPr="000D715C">
              <w:rPr>
                <w:rFonts w:ascii="Times New Roman" w:hAnsi="Times New Roman"/>
                <w:i/>
                <w:sz w:val="24"/>
              </w:rPr>
              <w:t>'</w:t>
            </w:r>
            <w:r w:rsidRPr="000D715C">
              <w:rPr>
                <w:rFonts w:ascii="Times New Roman" w:hAnsi="Times New Roman"/>
                <w:i/>
                <w:sz w:val="24"/>
              </w:rPr>
              <w:t>articolo 55 della direttiva BRRD e a uno qualunque dei primi tre trattini.</w:t>
            </w:r>
          </w:p>
          <w:p w14:paraId="47B03151" w14:textId="77777777" w:rsidR="00C85971" w:rsidRPr="000D715C" w:rsidRDefault="00C85971" w:rsidP="00D819DE">
            <w:pPr>
              <w:spacing w:after="200"/>
              <w:jc w:val="both"/>
              <w:rPr>
                <w:rFonts w:ascii="Times New Roman" w:eastAsia="Times New Roman" w:hAnsi="Times New Roman" w:cs="Times New Roman"/>
                <w:i/>
                <w:sz w:val="24"/>
              </w:rPr>
            </w:pPr>
            <w:r w:rsidRPr="000D715C">
              <w:rPr>
                <w:rFonts w:ascii="Times New Roman" w:hAnsi="Times New Roman"/>
                <w:i/>
                <w:sz w:val="24"/>
              </w:rPr>
              <w:t>Selezionare dal menu: [SÌ] [NO]</w:t>
            </w:r>
          </w:p>
        </w:tc>
      </w:tr>
      <w:tr w:rsidR="00C85971" w:rsidRPr="000D715C" w14:paraId="62C45590" w14:textId="77777777" w:rsidTr="00D819DE">
        <w:trPr>
          <w:trHeight w:val="259"/>
        </w:trPr>
        <w:tc>
          <w:tcPr>
            <w:tcW w:w="1030" w:type="dxa"/>
            <w:vAlign w:val="center"/>
          </w:tcPr>
          <w:p w14:paraId="14B82A54" w14:textId="77777777" w:rsidR="00C85971" w:rsidRPr="000D715C" w:rsidRDefault="00C85971" w:rsidP="00D819DE">
            <w:pPr>
              <w:spacing w:after="200" w:line="276" w:lineRule="auto"/>
              <w:rPr>
                <w:rFonts w:ascii="Times New Roman" w:eastAsia="Times New Roman" w:hAnsi="Times New Roman" w:cs="Times New Roman"/>
                <w:sz w:val="24"/>
              </w:rPr>
            </w:pPr>
            <w:r w:rsidRPr="000D715C">
              <w:rPr>
                <w:rFonts w:ascii="Times New Roman" w:hAnsi="Times New Roman"/>
                <w:sz w:val="24"/>
              </w:rPr>
              <w:t>4</w:t>
            </w:r>
          </w:p>
        </w:tc>
        <w:tc>
          <w:tcPr>
            <w:tcW w:w="7661" w:type="dxa"/>
            <w:shd w:val="clear" w:color="auto" w:fill="auto"/>
            <w:noWrap/>
            <w:vAlign w:val="bottom"/>
          </w:tcPr>
          <w:p w14:paraId="783C894A" w14:textId="77777777"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Trattamento corrente tenendo conto, se del caso, delle disposizioni transitorie del CRR</w:t>
            </w:r>
          </w:p>
          <w:p w14:paraId="456BE59A" w14:textId="4CA859EC"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Gli enti specificano il trattamento regolamentare transitorio dei fondi propri previsto dal CRR. La classificazione originaria dello strumento è il punto di riferimento indipendentemente da eventuali riclassificazioni in classi inferiori di fondi propri.</w:t>
            </w:r>
          </w:p>
          <w:p w14:paraId="57541963" w14:textId="77777777" w:rsidR="00C85971" w:rsidRPr="000D715C" w:rsidRDefault="00C85971" w:rsidP="00D819DE">
            <w:pPr>
              <w:spacing w:after="200"/>
              <w:jc w:val="both"/>
              <w:rPr>
                <w:rFonts w:ascii="Times New Roman" w:eastAsia="Times New Roman" w:hAnsi="Times New Roman" w:cs="Times New Roman"/>
                <w:i/>
                <w:sz w:val="24"/>
              </w:rPr>
            </w:pPr>
            <w:r w:rsidRPr="000D715C">
              <w:rPr>
                <w:rFonts w:ascii="Times New Roman" w:hAnsi="Times New Roman"/>
                <w:i/>
                <w:sz w:val="24"/>
              </w:rPr>
              <w:t>Selezionare dal menu: [Capitale primario di classe 1] [Capitale aggiuntivo di classe 1] [Capitale di classe 2] [Non ammissibile] [N/D]</w:t>
            </w:r>
          </w:p>
          <w:p w14:paraId="505EE001" w14:textId="691D2443"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i/>
                <w:sz w:val="24"/>
              </w:rPr>
              <w:t>Testo libero: specificare se una parte dell</w:t>
            </w:r>
            <w:r w:rsidR="005424B9" w:rsidRPr="000D715C">
              <w:rPr>
                <w:rFonts w:ascii="Times New Roman" w:hAnsi="Times New Roman"/>
                <w:i/>
                <w:sz w:val="24"/>
              </w:rPr>
              <w:t>'</w:t>
            </w:r>
            <w:r w:rsidRPr="000D715C">
              <w:rPr>
                <w:rFonts w:ascii="Times New Roman" w:hAnsi="Times New Roman"/>
                <w:i/>
                <w:sz w:val="24"/>
              </w:rPr>
              <w:t>emissione è stata riclassificata in classi inferiori di capitale.</w:t>
            </w:r>
          </w:p>
        </w:tc>
      </w:tr>
      <w:tr w:rsidR="00C85971" w:rsidRPr="000D715C" w14:paraId="7273D82B" w14:textId="77777777" w:rsidTr="00D819DE">
        <w:trPr>
          <w:trHeight w:val="259"/>
        </w:trPr>
        <w:tc>
          <w:tcPr>
            <w:tcW w:w="1030" w:type="dxa"/>
            <w:vAlign w:val="center"/>
          </w:tcPr>
          <w:p w14:paraId="21134EEE" w14:textId="77777777" w:rsidR="00C85971" w:rsidRPr="000D715C" w:rsidRDefault="00C85971" w:rsidP="000D715C">
            <w:pPr>
              <w:keepNext/>
              <w:keepLines/>
              <w:spacing w:after="200" w:line="276" w:lineRule="auto"/>
              <w:rPr>
                <w:rFonts w:ascii="Times New Roman" w:eastAsia="Times New Roman" w:hAnsi="Times New Roman" w:cs="Times New Roman"/>
                <w:sz w:val="24"/>
              </w:rPr>
            </w:pPr>
            <w:r w:rsidRPr="000D715C">
              <w:rPr>
                <w:rFonts w:ascii="Times New Roman" w:hAnsi="Times New Roman"/>
                <w:sz w:val="24"/>
              </w:rPr>
              <w:lastRenderedPageBreak/>
              <w:t>5</w:t>
            </w:r>
          </w:p>
        </w:tc>
        <w:tc>
          <w:tcPr>
            <w:tcW w:w="7661" w:type="dxa"/>
            <w:shd w:val="clear" w:color="auto" w:fill="auto"/>
            <w:noWrap/>
            <w:vAlign w:val="bottom"/>
          </w:tcPr>
          <w:p w14:paraId="7CC7BD39" w14:textId="77777777" w:rsidR="00C85971" w:rsidRPr="000D715C" w:rsidRDefault="00C85971" w:rsidP="000D715C">
            <w:pPr>
              <w:keepNext/>
              <w:keepLines/>
              <w:spacing w:after="200"/>
              <w:jc w:val="both"/>
              <w:rPr>
                <w:rFonts w:ascii="Times New Roman" w:eastAsia="Times New Roman" w:hAnsi="Times New Roman" w:cs="Times New Roman"/>
                <w:sz w:val="24"/>
              </w:rPr>
            </w:pPr>
            <w:r w:rsidRPr="000D715C">
              <w:rPr>
                <w:rFonts w:ascii="Times New Roman" w:hAnsi="Times New Roman"/>
                <w:sz w:val="24"/>
              </w:rPr>
              <w:t>Disposizioni post-transitorie del CRR</w:t>
            </w:r>
          </w:p>
          <w:p w14:paraId="15B33FD3" w14:textId="77777777" w:rsidR="00C85971" w:rsidRPr="000D715C" w:rsidRDefault="00C85971" w:rsidP="000D715C">
            <w:pPr>
              <w:keepNext/>
              <w:keepLines/>
              <w:spacing w:after="200"/>
              <w:jc w:val="both"/>
              <w:rPr>
                <w:rFonts w:ascii="Times New Roman" w:eastAsia="Times New Roman" w:hAnsi="Times New Roman" w:cs="Times New Roman"/>
                <w:sz w:val="24"/>
              </w:rPr>
            </w:pPr>
            <w:r w:rsidRPr="000D715C">
              <w:rPr>
                <w:rFonts w:ascii="Times New Roman" w:hAnsi="Times New Roman"/>
                <w:sz w:val="24"/>
              </w:rPr>
              <w:t xml:space="preserve">Gli enti specificano il trattamento regolamentare dei fondi propri a norma del CRR senza tener conto del trattamento transitorio. </w:t>
            </w:r>
          </w:p>
          <w:p w14:paraId="18A44EE8" w14:textId="77777777" w:rsidR="00C85971" w:rsidRPr="000D715C" w:rsidRDefault="00C85971" w:rsidP="000D715C">
            <w:pPr>
              <w:keepNext/>
              <w:keepLines/>
              <w:spacing w:after="200"/>
              <w:jc w:val="both"/>
              <w:rPr>
                <w:rFonts w:ascii="Times New Roman" w:eastAsia="Times New Roman" w:hAnsi="Times New Roman" w:cs="Times New Roman"/>
                <w:sz w:val="24"/>
              </w:rPr>
            </w:pPr>
            <w:r w:rsidRPr="000D715C">
              <w:rPr>
                <w:rFonts w:ascii="Times New Roman" w:hAnsi="Times New Roman"/>
                <w:i/>
                <w:sz w:val="24"/>
              </w:rPr>
              <w:t>Selezionare dal menu: [Capitale primario di classe 1] [capitale aggiuntivo di classe 1] [Capitale di classe 2 ]</w:t>
            </w:r>
            <w:r w:rsidRPr="000D715C">
              <w:t xml:space="preserve"> </w:t>
            </w:r>
            <w:r w:rsidRPr="000D715C">
              <w:rPr>
                <w:rFonts w:ascii="Times New Roman" w:hAnsi="Times New Roman"/>
                <w:i/>
                <w:sz w:val="24"/>
              </w:rPr>
              <w:t>[Passività ammissibili] [Non ammissibile]</w:t>
            </w:r>
          </w:p>
        </w:tc>
      </w:tr>
      <w:tr w:rsidR="00C85971" w:rsidRPr="000D715C" w14:paraId="4C5A8DCE" w14:textId="77777777" w:rsidTr="00D819DE">
        <w:trPr>
          <w:trHeight w:val="259"/>
        </w:trPr>
        <w:tc>
          <w:tcPr>
            <w:tcW w:w="1030" w:type="dxa"/>
            <w:vAlign w:val="center"/>
          </w:tcPr>
          <w:p w14:paraId="6138EB2C" w14:textId="77777777" w:rsidR="00C85971" w:rsidRPr="000D715C" w:rsidRDefault="00C85971" w:rsidP="00D819DE">
            <w:pPr>
              <w:spacing w:after="200" w:line="276" w:lineRule="auto"/>
              <w:rPr>
                <w:rFonts w:ascii="Times New Roman" w:eastAsia="Times New Roman" w:hAnsi="Times New Roman" w:cs="Times New Roman"/>
                <w:sz w:val="24"/>
              </w:rPr>
            </w:pPr>
            <w:r w:rsidRPr="000D715C">
              <w:rPr>
                <w:rFonts w:ascii="Times New Roman" w:hAnsi="Times New Roman"/>
                <w:sz w:val="24"/>
              </w:rPr>
              <w:t>6</w:t>
            </w:r>
          </w:p>
        </w:tc>
        <w:tc>
          <w:tcPr>
            <w:tcW w:w="7661" w:type="dxa"/>
            <w:shd w:val="clear" w:color="auto" w:fill="auto"/>
            <w:noWrap/>
            <w:vAlign w:val="bottom"/>
          </w:tcPr>
          <w:p w14:paraId="5FA2D312" w14:textId="718E80F5"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Ammissibile a livello solo/(sub-)consolidato / solo &amp; e (sub-)consolidato</w:t>
            </w:r>
          </w:p>
          <w:p w14:paraId="04883C73" w14:textId="4332A609"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Gli enti specificano il livello o i livelli, all</w:t>
            </w:r>
            <w:r w:rsidR="005424B9" w:rsidRPr="000D715C">
              <w:rPr>
                <w:rFonts w:ascii="Times New Roman" w:hAnsi="Times New Roman"/>
                <w:sz w:val="24"/>
              </w:rPr>
              <w:t>'</w:t>
            </w:r>
            <w:r w:rsidRPr="000D715C">
              <w:rPr>
                <w:rFonts w:ascii="Times New Roman" w:hAnsi="Times New Roman"/>
                <w:sz w:val="24"/>
              </w:rPr>
              <w:t>interno del gruppo, a cui lo strumento è incluso nei fondi propri/nelle passività ammissibili.</w:t>
            </w:r>
          </w:p>
          <w:p w14:paraId="7983B242" w14:textId="77777777"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i/>
                <w:sz w:val="24"/>
              </w:rPr>
              <w:t>Selezionare dal menu: [Solo][(sub-)consolidato] [solo &amp; (sub-)consolidato]</w:t>
            </w:r>
          </w:p>
        </w:tc>
      </w:tr>
      <w:tr w:rsidR="00C85971" w:rsidRPr="000D715C" w14:paraId="51C179AB" w14:textId="77777777" w:rsidTr="00D819DE">
        <w:trPr>
          <w:trHeight w:val="259"/>
        </w:trPr>
        <w:tc>
          <w:tcPr>
            <w:tcW w:w="1030" w:type="dxa"/>
            <w:vAlign w:val="center"/>
          </w:tcPr>
          <w:p w14:paraId="48FEED2E" w14:textId="77777777" w:rsidR="00C85971" w:rsidRPr="000D715C" w:rsidRDefault="00C85971" w:rsidP="00D819DE">
            <w:pPr>
              <w:spacing w:after="200" w:line="276" w:lineRule="auto"/>
              <w:rPr>
                <w:rFonts w:ascii="Times New Roman" w:eastAsia="Times New Roman" w:hAnsi="Times New Roman" w:cs="Times New Roman"/>
                <w:sz w:val="24"/>
              </w:rPr>
            </w:pPr>
            <w:r w:rsidRPr="000D715C">
              <w:rPr>
                <w:rFonts w:ascii="Times New Roman" w:hAnsi="Times New Roman"/>
                <w:sz w:val="24"/>
              </w:rPr>
              <w:t>7</w:t>
            </w:r>
          </w:p>
        </w:tc>
        <w:tc>
          <w:tcPr>
            <w:tcW w:w="7661" w:type="dxa"/>
            <w:shd w:val="clear" w:color="auto" w:fill="auto"/>
            <w:noWrap/>
            <w:vAlign w:val="bottom"/>
          </w:tcPr>
          <w:p w14:paraId="76DDD347" w14:textId="77777777"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Tipo di strumento (i tipi devono essere specificati per ciascuna giurisdizione)</w:t>
            </w:r>
          </w:p>
          <w:p w14:paraId="36FF3544" w14:textId="77777777"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 xml:space="preserve">Gli enti specificano il tipo di strumento, che varia a seconda della giurisdizione. </w:t>
            </w:r>
          </w:p>
          <w:p w14:paraId="77AB4FE3" w14:textId="49097B30" w:rsidR="00C85971" w:rsidRPr="000D715C" w:rsidRDefault="00C85971" w:rsidP="00D819DE">
            <w:pPr>
              <w:spacing w:after="200"/>
              <w:jc w:val="both"/>
              <w:rPr>
                <w:rFonts w:ascii="Times New Roman" w:eastAsia="Times New Roman" w:hAnsi="Times New Roman" w:cs="Times New Roman"/>
                <w:i/>
                <w:sz w:val="24"/>
              </w:rPr>
            </w:pPr>
            <w:r w:rsidRPr="000D715C">
              <w:rPr>
                <w:rFonts w:ascii="Times New Roman" w:hAnsi="Times New Roman"/>
                <w:i/>
                <w:sz w:val="24"/>
              </w:rPr>
              <w:t>Per gli strumenti di capitale CET1, selezionare la denominazione dello strumento nell</w:t>
            </w:r>
            <w:r w:rsidR="005424B9" w:rsidRPr="000D715C">
              <w:rPr>
                <w:rFonts w:ascii="Times New Roman" w:hAnsi="Times New Roman"/>
                <w:i/>
                <w:sz w:val="24"/>
              </w:rPr>
              <w:t>'</w:t>
            </w:r>
            <w:r w:rsidRPr="000D715C">
              <w:rPr>
                <w:rFonts w:ascii="Times New Roman" w:hAnsi="Times New Roman"/>
                <w:i/>
                <w:sz w:val="24"/>
              </w:rPr>
              <w:t>elenco del capitale CET1 pubblicato dall</w:t>
            </w:r>
            <w:r w:rsidR="005424B9" w:rsidRPr="000D715C">
              <w:rPr>
                <w:rFonts w:ascii="Times New Roman" w:hAnsi="Times New Roman"/>
                <w:i/>
                <w:sz w:val="24"/>
              </w:rPr>
              <w:t>'</w:t>
            </w:r>
            <w:r w:rsidRPr="000D715C">
              <w:rPr>
                <w:rFonts w:ascii="Times New Roman" w:hAnsi="Times New Roman"/>
                <w:i/>
                <w:sz w:val="24"/>
              </w:rPr>
              <w:t>ABE a norma dell</w:t>
            </w:r>
            <w:r w:rsidR="005424B9" w:rsidRPr="000D715C">
              <w:rPr>
                <w:rFonts w:ascii="Times New Roman" w:hAnsi="Times New Roman"/>
                <w:i/>
                <w:sz w:val="24"/>
              </w:rPr>
              <w:t>'</w:t>
            </w:r>
            <w:r w:rsidRPr="000D715C">
              <w:rPr>
                <w:rFonts w:ascii="Times New Roman" w:hAnsi="Times New Roman"/>
                <w:i/>
                <w:sz w:val="24"/>
              </w:rPr>
              <w:t>articolo 26, paragrafo 3, del CRR.</w:t>
            </w:r>
          </w:p>
          <w:p w14:paraId="02249DAC" w14:textId="77777777" w:rsidR="00C85971" w:rsidRPr="000D715C" w:rsidRDefault="00C85971" w:rsidP="00D819DE">
            <w:pPr>
              <w:spacing w:after="200"/>
              <w:jc w:val="both"/>
              <w:rPr>
                <w:rFonts w:ascii="Times New Roman" w:eastAsia="Times New Roman" w:hAnsi="Times New Roman" w:cs="Times New Roman"/>
                <w:i/>
                <w:sz w:val="24"/>
              </w:rPr>
            </w:pPr>
            <w:r w:rsidRPr="000D715C">
              <w:rPr>
                <w:rFonts w:ascii="Times New Roman" w:hAnsi="Times New Roman"/>
                <w:i/>
                <w:sz w:val="24"/>
              </w:rPr>
              <w:t>Per gli altri strumenti, selezionare: dal menu di opzioni fornito agli enti da ciascuna giurisdizione – inserire i riferimenti giuridici agli articoli del CRR per ciascun tipo di strumento</w:t>
            </w:r>
          </w:p>
        </w:tc>
      </w:tr>
      <w:tr w:rsidR="00C85971" w:rsidRPr="000D715C" w14:paraId="05E18079" w14:textId="77777777" w:rsidTr="00D819DE">
        <w:trPr>
          <w:trHeight w:val="259"/>
        </w:trPr>
        <w:tc>
          <w:tcPr>
            <w:tcW w:w="1030" w:type="dxa"/>
            <w:vAlign w:val="center"/>
          </w:tcPr>
          <w:p w14:paraId="06657915" w14:textId="77777777" w:rsidR="00C85971" w:rsidRPr="000D715C" w:rsidRDefault="00C85971" w:rsidP="00D819DE">
            <w:pPr>
              <w:spacing w:after="200" w:line="276" w:lineRule="auto"/>
              <w:rPr>
                <w:rFonts w:ascii="Times New Roman" w:eastAsia="Times New Roman" w:hAnsi="Times New Roman" w:cs="Times New Roman"/>
                <w:sz w:val="24"/>
              </w:rPr>
            </w:pPr>
            <w:r w:rsidRPr="000D715C">
              <w:rPr>
                <w:rFonts w:ascii="Times New Roman" w:hAnsi="Times New Roman"/>
                <w:sz w:val="24"/>
              </w:rPr>
              <w:t>8</w:t>
            </w:r>
          </w:p>
        </w:tc>
        <w:tc>
          <w:tcPr>
            <w:tcW w:w="7661" w:type="dxa"/>
            <w:shd w:val="clear" w:color="auto" w:fill="auto"/>
            <w:noWrap/>
            <w:vAlign w:val="bottom"/>
          </w:tcPr>
          <w:p w14:paraId="7DE2CA94" w14:textId="77777777"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Importo rilevato nel capitale regolamentare o nelle passività ammissibili (moneta in milioni, alla più recente data di riferimento per la segnalazione)</w:t>
            </w:r>
          </w:p>
          <w:p w14:paraId="00829990" w14:textId="08420778"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Gli enti specificano l</w:t>
            </w:r>
            <w:r w:rsidR="005424B9" w:rsidRPr="000D715C">
              <w:rPr>
                <w:rFonts w:ascii="Times New Roman" w:hAnsi="Times New Roman"/>
                <w:sz w:val="24"/>
              </w:rPr>
              <w:t>'</w:t>
            </w:r>
            <w:r w:rsidRPr="000D715C">
              <w:rPr>
                <w:rFonts w:ascii="Times New Roman" w:hAnsi="Times New Roman"/>
                <w:sz w:val="24"/>
              </w:rPr>
              <w:t>importo rilevato nei fondi propri regolamentari o nelle passività ammissibili.</w:t>
            </w:r>
          </w:p>
          <w:p w14:paraId="2D49DE4A" w14:textId="15518CD0" w:rsidR="00C85971" w:rsidRPr="000D715C" w:rsidRDefault="00C85971" w:rsidP="00D819DE">
            <w:pPr>
              <w:spacing w:after="200"/>
              <w:jc w:val="both"/>
              <w:rPr>
                <w:rFonts w:ascii="Times New Roman" w:eastAsia="Times New Roman" w:hAnsi="Times New Roman" w:cs="Times New Roman"/>
                <w:i/>
                <w:sz w:val="24"/>
              </w:rPr>
            </w:pPr>
            <w:r w:rsidRPr="000D715C">
              <w:rPr>
                <w:rFonts w:ascii="Times New Roman" w:hAnsi="Times New Roman"/>
                <w:i/>
                <w:sz w:val="24"/>
              </w:rPr>
              <w:t>Testo libero: specificare in particolare se alcune parti degli strumenti sono in classi diverse di fondi propri regolamentari e se l</w:t>
            </w:r>
            <w:r w:rsidR="005424B9" w:rsidRPr="000D715C">
              <w:rPr>
                <w:rFonts w:ascii="Times New Roman" w:hAnsi="Times New Roman"/>
                <w:i/>
                <w:sz w:val="24"/>
              </w:rPr>
              <w:t>'</w:t>
            </w:r>
            <w:r w:rsidRPr="000D715C">
              <w:rPr>
                <w:rFonts w:ascii="Times New Roman" w:hAnsi="Times New Roman"/>
                <w:i/>
                <w:sz w:val="24"/>
              </w:rPr>
              <w:t>importo rilevato nei fondi propri regolamentari è diverso dall</w:t>
            </w:r>
            <w:r w:rsidR="005424B9" w:rsidRPr="000D715C">
              <w:rPr>
                <w:rFonts w:ascii="Times New Roman" w:hAnsi="Times New Roman"/>
                <w:i/>
                <w:sz w:val="24"/>
              </w:rPr>
              <w:t>'</w:t>
            </w:r>
            <w:r w:rsidRPr="000D715C">
              <w:rPr>
                <w:rFonts w:ascii="Times New Roman" w:hAnsi="Times New Roman"/>
                <w:i/>
                <w:sz w:val="24"/>
              </w:rPr>
              <w:t>importo emesso.</w:t>
            </w:r>
          </w:p>
        </w:tc>
      </w:tr>
      <w:tr w:rsidR="00C85971" w:rsidRPr="000D715C" w14:paraId="284CA942" w14:textId="77777777" w:rsidTr="00D819DE">
        <w:trPr>
          <w:trHeight w:val="259"/>
        </w:trPr>
        <w:tc>
          <w:tcPr>
            <w:tcW w:w="1030" w:type="dxa"/>
            <w:vAlign w:val="center"/>
          </w:tcPr>
          <w:p w14:paraId="370A5ACB" w14:textId="77777777" w:rsidR="00C85971" w:rsidRPr="000D715C" w:rsidRDefault="00C85971" w:rsidP="00D819DE">
            <w:pPr>
              <w:spacing w:after="200" w:line="276" w:lineRule="auto"/>
              <w:rPr>
                <w:rFonts w:ascii="Times New Roman" w:eastAsia="Times New Roman" w:hAnsi="Times New Roman" w:cs="Times New Roman"/>
                <w:sz w:val="24"/>
              </w:rPr>
            </w:pPr>
            <w:r w:rsidRPr="000D715C">
              <w:rPr>
                <w:rFonts w:ascii="Times New Roman" w:hAnsi="Times New Roman"/>
                <w:sz w:val="24"/>
              </w:rPr>
              <w:t>9</w:t>
            </w:r>
          </w:p>
        </w:tc>
        <w:tc>
          <w:tcPr>
            <w:tcW w:w="7661" w:type="dxa"/>
            <w:shd w:val="clear" w:color="auto" w:fill="auto"/>
            <w:noWrap/>
            <w:vAlign w:val="bottom"/>
          </w:tcPr>
          <w:p w14:paraId="2349DBC0" w14:textId="77777777"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 xml:space="preserve">Importo nominale dello strumento </w:t>
            </w:r>
          </w:p>
          <w:p w14:paraId="6380272B" w14:textId="77777777"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Importo nominale dello strumento nella moneta di emissione e nella moneta utilizzata per gli obblighi di segnalazione.</w:t>
            </w:r>
          </w:p>
          <w:p w14:paraId="466B9555" w14:textId="77777777" w:rsidR="00C85971" w:rsidRPr="000D715C" w:rsidRDefault="00C85971" w:rsidP="00D819DE">
            <w:pPr>
              <w:spacing w:after="200"/>
              <w:jc w:val="both"/>
              <w:rPr>
                <w:rFonts w:ascii="Times New Roman" w:eastAsia="Times New Roman" w:hAnsi="Times New Roman" w:cs="Times New Roman"/>
                <w:i/>
                <w:sz w:val="24"/>
              </w:rPr>
            </w:pPr>
            <w:r w:rsidRPr="000D715C">
              <w:rPr>
                <w:rFonts w:ascii="Times New Roman" w:hAnsi="Times New Roman"/>
                <w:i/>
                <w:sz w:val="24"/>
              </w:rPr>
              <w:t>Testo libero</w:t>
            </w:r>
          </w:p>
        </w:tc>
      </w:tr>
      <w:tr w:rsidR="00C85971" w:rsidRPr="000D715C" w14:paraId="0544B969" w14:textId="77777777" w:rsidTr="00D819DE">
        <w:trPr>
          <w:trHeight w:val="259"/>
        </w:trPr>
        <w:tc>
          <w:tcPr>
            <w:tcW w:w="1030" w:type="dxa"/>
            <w:vAlign w:val="center"/>
          </w:tcPr>
          <w:p w14:paraId="2006187A" w14:textId="77777777" w:rsidR="00C85971" w:rsidRPr="000D715C" w:rsidRDefault="00C85971" w:rsidP="00D819DE">
            <w:pPr>
              <w:spacing w:after="200" w:line="276" w:lineRule="auto"/>
              <w:rPr>
                <w:rFonts w:ascii="Times New Roman" w:eastAsia="Times New Roman" w:hAnsi="Times New Roman" w:cs="Times New Roman"/>
                <w:sz w:val="24"/>
              </w:rPr>
            </w:pPr>
            <w:r w:rsidRPr="000D715C">
              <w:rPr>
                <w:rFonts w:ascii="Times New Roman" w:hAnsi="Times New Roman"/>
                <w:sz w:val="24"/>
              </w:rPr>
              <w:t>EU-9a</w:t>
            </w:r>
          </w:p>
        </w:tc>
        <w:tc>
          <w:tcPr>
            <w:tcW w:w="7661" w:type="dxa"/>
            <w:shd w:val="clear" w:color="auto" w:fill="auto"/>
            <w:noWrap/>
            <w:vAlign w:val="bottom"/>
          </w:tcPr>
          <w:p w14:paraId="24E5CF72" w14:textId="77777777"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Prezzo di emissione</w:t>
            </w:r>
          </w:p>
          <w:p w14:paraId="1F541B10" w14:textId="77777777"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Prezzo di emissione dello strumento.</w:t>
            </w:r>
          </w:p>
          <w:p w14:paraId="789EF5B3" w14:textId="77777777" w:rsidR="00C85971" w:rsidRPr="000D715C" w:rsidRDefault="00C85971" w:rsidP="00D819DE">
            <w:pPr>
              <w:spacing w:after="200"/>
              <w:jc w:val="both"/>
              <w:rPr>
                <w:rFonts w:ascii="Times New Roman" w:eastAsia="Times New Roman" w:hAnsi="Times New Roman" w:cs="Times New Roman"/>
                <w:i/>
                <w:sz w:val="24"/>
              </w:rPr>
            </w:pPr>
            <w:r w:rsidRPr="000D715C">
              <w:rPr>
                <w:rFonts w:ascii="Times New Roman" w:hAnsi="Times New Roman"/>
                <w:i/>
                <w:sz w:val="24"/>
              </w:rPr>
              <w:t>Testo libero</w:t>
            </w:r>
          </w:p>
        </w:tc>
      </w:tr>
      <w:tr w:rsidR="00C85971" w:rsidRPr="000D715C" w14:paraId="4CA90A7D" w14:textId="77777777" w:rsidTr="00D819DE">
        <w:trPr>
          <w:trHeight w:val="259"/>
        </w:trPr>
        <w:tc>
          <w:tcPr>
            <w:tcW w:w="1030" w:type="dxa"/>
            <w:vAlign w:val="center"/>
          </w:tcPr>
          <w:p w14:paraId="38899B7B" w14:textId="77777777" w:rsidR="00C85971" w:rsidRPr="000D715C" w:rsidRDefault="00C85971" w:rsidP="000D715C">
            <w:pPr>
              <w:keepNext/>
              <w:keepLines/>
              <w:spacing w:after="180" w:line="276" w:lineRule="auto"/>
              <w:rPr>
                <w:rFonts w:ascii="Times New Roman" w:eastAsia="Times New Roman" w:hAnsi="Times New Roman" w:cs="Times New Roman"/>
                <w:sz w:val="24"/>
              </w:rPr>
            </w:pPr>
            <w:r w:rsidRPr="000D715C">
              <w:rPr>
                <w:rFonts w:ascii="Times New Roman" w:hAnsi="Times New Roman"/>
                <w:sz w:val="24"/>
              </w:rPr>
              <w:lastRenderedPageBreak/>
              <w:t>EU-9b</w:t>
            </w:r>
          </w:p>
        </w:tc>
        <w:tc>
          <w:tcPr>
            <w:tcW w:w="7661" w:type="dxa"/>
            <w:shd w:val="clear" w:color="auto" w:fill="auto"/>
            <w:noWrap/>
            <w:vAlign w:val="bottom"/>
          </w:tcPr>
          <w:p w14:paraId="121E8937" w14:textId="77777777" w:rsidR="00C85971" w:rsidRPr="000D715C" w:rsidRDefault="00C85971" w:rsidP="000D715C">
            <w:pPr>
              <w:keepNext/>
              <w:keepLines/>
              <w:spacing w:after="180"/>
              <w:jc w:val="both"/>
              <w:rPr>
                <w:rFonts w:ascii="Times New Roman" w:eastAsia="Times New Roman" w:hAnsi="Times New Roman" w:cs="Times New Roman"/>
                <w:sz w:val="24"/>
              </w:rPr>
            </w:pPr>
            <w:r w:rsidRPr="000D715C">
              <w:rPr>
                <w:rFonts w:ascii="Times New Roman" w:hAnsi="Times New Roman"/>
                <w:sz w:val="24"/>
              </w:rPr>
              <w:t>Prezzo di rimborso</w:t>
            </w:r>
          </w:p>
          <w:p w14:paraId="3882BA0E" w14:textId="77777777" w:rsidR="00C85971" w:rsidRPr="000D715C" w:rsidRDefault="00C85971" w:rsidP="000D715C">
            <w:pPr>
              <w:keepNext/>
              <w:keepLines/>
              <w:spacing w:after="180"/>
              <w:jc w:val="both"/>
              <w:rPr>
                <w:rFonts w:ascii="Times New Roman" w:eastAsia="Times New Roman" w:hAnsi="Times New Roman" w:cs="Times New Roman"/>
                <w:sz w:val="24"/>
              </w:rPr>
            </w:pPr>
            <w:r w:rsidRPr="000D715C">
              <w:rPr>
                <w:rFonts w:ascii="Times New Roman" w:hAnsi="Times New Roman"/>
                <w:sz w:val="24"/>
              </w:rPr>
              <w:t>Prezzo di rimborso dello strumento.</w:t>
            </w:r>
          </w:p>
          <w:p w14:paraId="0A2871F9" w14:textId="77777777" w:rsidR="00C85971" w:rsidRPr="000D715C" w:rsidRDefault="00C85971" w:rsidP="000D715C">
            <w:pPr>
              <w:keepNext/>
              <w:keepLines/>
              <w:spacing w:after="180"/>
              <w:jc w:val="both"/>
              <w:rPr>
                <w:rFonts w:ascii="Times New Roman" w:eastAsia="Times New Roman" w:hAnsi="Times New Roman" w:cs="Times New Roman"/>
                <w:i/>
                <w:sz w:val="24"/>
              </w:rPr>
            </w:pPr>
            <w:r w:rsidRPr="000D715C">
              <w:rPr>
                <w:rFonts w:ascii="Times New Roman" w:hAnsi="Times New Roman"/>
                <w:i/>
                <w:sz w:val="24"/>
              </w:rPr>
              <w:t>Testo libero</w:t>
            </w:r>
          </w:p>
        </w:tc>
      </w:tr>
      <w:tr w:rsidR="00C85971" w:rsidRPr="000D715C" w14:paraId="5D67AC63" w14:textId="77777777" w:rsidTr="00D819DE">
        <w:trPr>
          <w:trHeight w:val="259"/>
        </w:trPr>
        <w:tc>
          <w:tcPr>
            <w:tcW w:w="1030" w:type="dxa"/>
            <w:vAlign w:val="center"/>
          </w:tcPr>
          <w:p w14:paraId="0C043D9F" w14:textId="77777777" w:rsidR="00C85971" w:rsidRPr="000D715C" w:rsidRDefault="00C85971" w:rsidP="000D715C">
            <w:pPr>
              <w:spacing w:after="180" w:line="276" w:lineRule="auto"/>
              <w:rPr>
                <w:rFonts w:ascii="Times New Roman" w:eastAsia="Times New Roman" w:hAnsi="Times New Roman" w:cs="Times New Roman"/>
                <w:sz w:val="24"/>
              </w:rPr>
            </w:pPr>
            <w:r w:rsidRPr="000D715C">
              <w:rPr>
                <w:rFonts w:ascii="Times New Roman" w:hAnsi="Times New Roman"/>
                <w:sz w:val="24"/>
              </w:rPr>
              <w:t>10</w:t>
            </w:r>
          </w:p>
        </w:tc>
        <w:tc>
          <w:tcPr>
            <w:tcW w:w="7661" w:type="dxa"/>
            <w:shd w:val="clear" w:color="auto" w:fill="auto"/>
            <w:noWrap/>
            <w:vAlign w:val="bottom"/>
          </w:tcPr>
          <w:p w14:paraId="19BCB8EF" w14:textId="77777777" w:rsidR="00C85971" w:rsidRPr="000D715C" w:rsidRDefault="00C85971" w:rsidP="000D715C">
            <w:pPr>
              <w:spacing w:after="180"/>
              <w:jc w:val="both"/>
              <w:rPr>
                <w:rFonts w:ascii="Times New Roman" w:eastAsia="Times New Roman" w:hAnsi="Times New Roman" w:cs="Times New Roman"/>
                <w:sz w:val="24"/>
              </w:rPr>
            </w:pPr>
            <w:r w:rsidRPr="000D715C">
              <w:rPr>
                <w:rFonts w:ascii="Times New Roman" w:hAnsi="Times New Roman"/>
                <w:sz w:val="24"/>
              </w:rPr>
              <w:t>Classificazione contabile</w:t>
            </w:r>
          </w:p>
          <w:p w14:paraId="780F56D4" w14:textId="77777777" w:rsidR="00C85971" w:rsidRPr="000D715C" w:rsidRDefault="00C85971" w:rsidP="000D715C">
            <w:pPr>
              <w:spacing w:after="180"/>
              <w:jc w:val="both"/>
              <w:rPr>
                <w:rFonts w:ascii="Times New Roman" w:eastAsia="Times New Roman" w:hAnsi="Times New Roman" w:cs="Times New Roman"/>
                <w:sz w:val="24"/>
              </w:rPr>
            </w:pPr>
            <w:r w:rsidRPr="000D715C">
              <w:rPr>
                <w:rFonts w:ascii="Times New Roman" w:hAnsi="Times New Roman"/>
                <w:sz w:val="24"/>
              </w:rPr>
              <w:t>Gli enti specificano la classificazione contabile.</w:t>
            </w:r>
          </w:p>
          <w:p w14:paraId="7F82F115" w14:textId="77777777" w:rsidR="00C85971" w:rsidRPr="000D715C" w:rsidRDefault="00C85971" w:rsidP="000D715C">
            <w:pPr>
              <w:spacing w:after="180"/>
              <w:jc w:val="both"/>
              <w:rPr>
                <w:rFonts w:ascii="Times New Roman" w:eastAsia="Times New Roman" w:hAnsi="Times New Roman" w:cs="Times New Roman"/>
                <w:i/>
                <w:sz w:val="24"/>
              </w:rPr>
            </w:pPr>
            <w:r w:rsidRPr="000D715C">
              <w:rPr>
                <w:rFonts w:ascii="Times New Roman" w:hAnsi="Times New Roman"/>
                <w:i/>
                <w:sz w:val="24"/>
              </w:rPr>
              <w:t>Selezionare dal menu: [Patrimonio netto] [Passività - costo ammortizzato] [Passività - opzione del valore equo] [Interessi di minoranza in filiazioni consolidate]</w:t>
            </w:r>
          </w:p>
        </w:tc>
      </w:tr>
      <w:tr w:rsidR="00C85971" w:rsidRPr="000D715C" w14:paraId="53BD4D9C" w14:textId="77777777" w:rsidTr="00D819DE">
        <w:trPr>
          <w:trHeight w:val="259"/>
        </w:trPr>
        <w:tc>
          <w:tcPr>
            <w:tcW w:w="1030" w:type="dxa"/>
            <w:vAlign w:val="center"/>
          </w:tcPr>
          <w:p w14:paraId="6D4D323F" w14:textId="77777777" w:rsidR="00C85971" w:rsidRPr="000D715C" w:rsidRDefault="00C85971" w:rsidP="000D715C">
            <w:pPr>
              <w:spacing w:after="180" w:line="276" w:lineRule="auto"/>
              <w:rPr>
                <w:rFonts w:ascii="Times New Roman" w:eastAsia="Times New Roman" w:hAnsi="Times New Roman" w:cs="Times New Roman"/>
                <w:sz w:val="24"/>
              </w:rPr>
            </w:pPr>
            <w:r w:rsidRPr="000D715C">
              <w:rPr>
                <w:rFonts w:ascii="Times New Roman" w:hAnsi="Times New Roman"/>
                <w:sz w:val="24"/>
              </w:rPr>
              <w:t>11</w:t>
            </w:r>
          </w:p>
        </w:tc>
        <w:tc>
          <w:tcPr>
            <w:tcW w:w="7661" w:type="dxa"/>
            <w:shd w:val="clear" w:color="auto" w:fill="auto"/>
            <w:noWrap/>
            <w:vAlign w:val="bottom"/>
          </w:tcPr>
          <w:p w14:paraId="458D8463" w14:textId="77777777" w:rsidR="00C85971" w:rsidRPr="000D715C" w:rsidRDefault="00C85971" w:rsidP="000D715C">
            <w:pPr>
              <w:spacing w:after="180"/>
              <w:jc w:val="both"/>
              <w:rPr>
                <w:rFonts w:ascii="Times New Roman" w:eastAsia="Times New Roman" w:hAnsi="Times New Roman" w:cs="Times New Roman"/>
                <w:sz w:val="24"/>
              </w:rPr>
            </w:pPr>
            <w:r w:rsidRPr="000D715C">
              <w:rPr>
                <w:rFonts w:ascii="Times New Roman" w:hAnsi="Times New Roman"/>
                <w:sz w:val="24"/>
              </w:rPr>
              <w:t>Data di emissione originaria</w:t>
            </w:r>
          </w:p>
          <w:p w14:paraId="611C9A36" w14:textId="77777777" w:rsidR="00C85971" w:rsidRPr="000D715C" w:rsidRDefault="00C85971" w:rsidP="000D715C">
            <w:pPr>
              <w:spacing w:after="180"/>
              <w:jc w:val="both"/>
              <w:rPr>
                <w:rFonts w:ascii="Times New Roman" w:eastAsia="Times New Roman" w:hAnsi="Times New Roman" w:cs="Times New Roman"/>
                <w:sz w:val="24"/>
              </w:rPr>
            </w:pPr>
            <w:r w:rsidRPr="000D715C">
              <w:rPr>
                <w:rFonts w:ascii="Times New Roman" w:hAnsi="Times New Roman"/>
                <w:sz w:val="24"/>
              </w:rPr>
              <w:t>Gli enti specificano la data di emissione.</w:t>
            </w:r>
          </w:p>
          <w:p w14:paraId="2154F810" w14:textId="77777777" w:rsidR="00C85971" w:rsidRPr="000D715C" w:rsidRDefault="00C85971" w:rsidP="000D715C">
            <w:pPr>
              <w:spacing w:after="180"/>
              <w:jc w:val="both"/>
              <w:rPr>
                <w:rFonts w:ascii="Times New Roman" w:eastAsia="Times New Roman" w:hAnsi="Times New Roman" w:cs="Times New Roman"/>
                <w:sz w:val="24"/>
              </w:rPr>
            </w:pPr>
            <w:r w:rsidRPr="000D715C">
              <w:rPr>
                <w:rFonts w:ascii="Times New Roman" w:hAnsi="Times New Roman"/>
                <w:i/>
                <w:sz w:val="24"/>
              </w:rPr>
              <w:t>Testo libero</w:t>
            </w:r>
          </w:p>
        </w:tc>
      </w:tr>
      <w:tr w:rsidR="00C85971" w:rsidRPr="000D715C" w14:paraId="04FFB927" w14:textId="77777777" w:rsidTr="00D819DE">
        <w:trPr>
          <w:trHeight w:val="259"/>
        </w:trPr>
        <w:tc>
          <w:tcPr>
            <w:tcW w:w="1030" w:type="dxa"/>
            <w:vAlign w:val="center"/>
          </w:tcPr>
          <w:p w14:paraId="205744AC" w14:textId="77777777" w:rsidR="00C85971" w:rsidRPr="000D715C" w:rsidRDefault="00C85971" w:rsidP="000D715C">
            <w:pPr>
              <w:spacing w:after="180" w:line="276" w:lineRule="auto"/>
              <w:rPr>
                <w:rFonts w:ascii="Times New Roman" w:eastAsia="Times New Roman" w:hAnsi="Times New Roman" w:cs="Times New Roman"/>
                <w:sz w:val="24"/>
              </w:rPr>
            </w:pPr>
            <w:r w:rsidRPr="000D715C">
              <w:rPr>
                <w:rFonts w:ascii="Times New Roman" w:hAnsi="Times New Roman"/>
                <w:sz w:val="24"/>
              </w:rPr>
              <w:t>12</w:t>
            </w:r>
          </w:p>
        </w:tc>
        <w:tc>
          <w:tcPr>
            <w:tcW w:w="7661" w:type="dxa"/>
            <w:shd w:val="clear" w:color="auto" w:fill="auto"/>
            <w:noWrap/>
            <w:vAlign w:val="bottom"/>
          </w:tcPr>
          <w:p w14:paraId="4EF23CA5" w14:textId="77777777" w:rsidR="00C85971" w:rsidRPr="000D715C" w:rsidRDefault="00C85971" w:rsidP="000D715C">
            <w:pPr>
              <w:spacing w:after="180"/>
              <w:jc w:val="both"/>
              <w:rPr>
                <w:rFonts w:ascii="Times New Roman" w:eastAsia="Times New Roman" w:hAnsi="Times New Roman" w:cs="Times New Roman"/>
                <w:sz w:val="24"/>
              </w:rPr>
            </w:pPr>
            <w:r w:rsidRPr="000D715C">
              <w:rPr>
                <w:rFonts w:ascii="Times New Roman" w:hAnsi="Times New Roman"/>
                <w:sz w:val="24"/>
              </w:rPr>
              <w:t xml:space="preserve">Irredimibile o a scadenza </w:t>
            </w:r>
          </w:p>
          <w:p w14:paraId="3E0D6EB1" w14:textId="77777777" w:rsidR="00C85971" w:rsidRPr="000D715C" w:rsidRDefault="00C85971" w:rsidP="000D715C">
            <w:pPr>
              <w:spacing w:after="180"/>
              <w:jc w:val="both"/>
              <w:rPr>
                <w:rFonts w:ascii="Times New Roman" w:eastAsia="Times New Roman" w:hAnsi="Times New Roman" w:cs="Times New Roman"/>
                <w:sz w:val="24"/>
              </w:rPr>
            </w:pPr>
            <w:r w:rsidRPr="000D715C">
              <w:rPr>
                <w:rFonts w:ascii="Times New Roman" w:hAnsi="Times New Roman"/>
                <w:sz w:val="24"/>
              </w:rPr>
              <w:t>Gli enti specificano se uno strumento è irredimibile o a scadenza.</w:t>
            </w:r>
          </w:p>
          <w:p w14:paraId="245C5398" w14:textId="77777777" w:rsidR="00C85971" w:rsidRPr="000D715C" w:rsidRDefault="00C85971" w:rsidP="000D715C">
            <w:pPr>
              <w:spacing w:after="180"/>
              <w:jc w:val="both"/>
              <w:rPr>
                <w:rFonts w:ascii="Times New Roman" w:eastAsia="Times New Roman" w:hAnsi="Times New Roman" w:cs="Times New Roman"/>
                <w:i/>
                <w:sz w:val="24"/>
              </w:rPr>
            </w:pPr>
            <w:r w:rsidRPr="000D715C">
              <w:rPr>
                <w:rFonts w:ascii="Times New Roman" w:hAnsi="Times New Roman"/>
                <w:i/>
                <w:sz w:val="24"/>
              </w:rPr>
              <w:t>Selezionare dal menu: [Irredimibile] [A scadenza]</w:t>
            </w:r>
          </w:p>
        </w:tc>
      </w:tr>
      <w:tr w:rsidR="00C85971" w:rsidRPr="000D715C" w14:paraId="56CA0C61" w14:textId="77777777" w:rsidTr="00D819DE">
        <w:trPr>
          <w:trHeight w:val="259"/>
        </w:trPr>
        <w:tc>
          <w:tcPr>
            <w:tcW w:w="1030" w:type="dxa"/>
            <w:vAlign w:val="center"/>
          </w:tcPr>
          <w:p w14:paraId="616EB2DB" w14:textId="77777777" w:rsidR="00C85971" w:rsidRPr="000D715C" w:rsidRDefault="00C85971" w:rsidP="000D715C">
            <w:pPr>
              <w:spacing w:after="180" w:line="276" w:lineRule="auto"/>
              <w:rPr>
                <w:rFonts w:ascii="Times New Roman" w:eastAsia="Times New Roman" w:hAnsi="Times New Roman" w:cs="Times New Roman"/>
                <w:sz w:val="24"/>
              </w:rPr>
            </w:pPr>
            <w:r w:rsidRPr="000D715C">
              <w:rPr>
                <w:rFonts w:ascii="Times New Roman" w:hAnsi="Times New Roman"/>
                <w:sz w:val="24"/>
              </w:rPr>
              <w:t>13</w:t>
            </w:r>
          </w:p>
        </w:tc>
        <w:tc>
          <w:tcPr>
            <w:tcW w:w="7661" w:type="dxa"/>
            <w:shd w:val="clear" w:color="auto" w:fill="auto"/>
            <w:noWrap/>
            <w:vAlign w:val="bottom"/>
          </w:tcPr>
          <w:p w14:paraId="6ED06368" w14:textId="77777777" w:rsidR="00C85971" w:rsidRPr="000D715C" w:rsidRDefault="00C85971" w:rsidP="000D715C">
            <w:pPr>
              <w:spacing w:after="180"/>
              <w:jc w:val="both"/>
              <w:rPr>
                <w:rFonts w:ascii="Times New Roman" w:eastAsia="Times New Roman" w:hAnsi="Times New Roman" w:cs="Times New Roman"/>
                <w:sz w:val="24"/>
              </w:rPr>
            </w:pPr>
            <w:r w:rsidRPr="000D715C">
              <w:rPr>
                <w:rFonts w:ascii="Times New Roman" w:hAnsi="Times New Roman"/>
                <w:sz w:val="24"/>
              </w:rPr>
              <w:t>Data di scadenza originaria</w:t>
            </w:r>
          </w:p>
          <w:p w14:paraId="4B82838B" w14:textId="7446EBE9" w:rsidR="00C85971" w:rsidRPr="000D715C" w:rsidRDefault="00C85971" w:rsidP="000D715C">
            <w:pPr>
              <w:spacing w:after="180"/>
              <w:jc w:val="both"/>
              <w:rPr>
                <w:rFonts w:ascii="Times New Roman" w:eastAsia="Times New Roman" w:hAnsi="Times New Roman" w:cs="Times New Roman"/>
                <w:sz w:val="24"/>
              </w:rPr>
            </w:pPr>
            <w:r w:rsidRPr="000D715C">
              <w:rPr>
                <w:rFonts w:ascii="Times New Roman" w:hAnsi="Times New Roman"/>
                <w:sz w:val="24"/>
              </w:rPr>
              <w:t xml:space="preserve">Per gli strumenti a scadenza, gli enti specificano la data di scadenza originaria (giorno, mese e anno). Per gli strumenti irredimibili, inserire la dicitura </w:t>
            </w:r>
            <w:r w:rsidR="005424B9" w:rsidRPr="000D715C">
              <w:rPr>
                <w:rFonts w:ascii="Times New Roman" w:hAnsi="Times New Roman"/>
                <w:sz w:val="24"/>
              </w:rPr>
              <w:t>"</w:t>
            </w:r>
            <w:r w:rsidRPr="000D715C">
              <w:rPr>
                <w:rFonts w:ascii="Times New Roman" w:hAnsi="Times New Roman"/>
                <w:sz w:val="24"/>
              </w:rPr>
              <w:t>privo di scadenza</w:t>
            </w:r>
            <w:r w:rsidR="005424B9" w:rsidRPr="000D715C">
              <w:rPr>
                <w:rFonts w:ascii="Times New Roman" w:hAnsi="Times New Roman"/>
                <w:sz w:val="24"/>
              </w:rPr>
              <w:t>"</w:t>
            </w:r>
            <w:r w:rsidRPr="000D715C">
              <w:rPr>
                <w:rFonts w:ascii="Times New Roman" w:hAnsi="Times New Roman"/>
                <w:sz w:val="24"/>
              </w:rPr>
              <w:t xml:space="preserve">. </w:t>
            </w:r>
          </w:p>
          <w:p w14:paraId="68FD4196" w14:textId="77777777" w:rsidR="00C85971" w:rsidRPr="000D715C" w:rsidRDefault="00C85971" w:rsidP="000D715C">
            <w:pPr>
              <w:spacing w:after="180"/>
              <w:jc w:val="both"/>
              <w:rPr>
                <w:rFonts w:ascii="Times New Roman" w:eastAsia="Times New Roman" w:hAnsi="Times New Roman" w:cs="Times New Roman"/>
                <w:sz w:val="24"/>
              </w:rPr>
            </w:pPr>
            <w:r w:rsidRPr="000D715C">
              <w:rPr>
                <w:rFonts w:ascii="Times New Roman" w:hAnsi="Times New Roman"/>
                <w:i/>
                <w:sz w:val="24"/>
              </w:rPr>
              <w:t>Testo libero</w:t>
            </w:r>
          </w:p>
        </w:tc>
      </w:tr>
      <w:tr w:rsidR="00C85971" w:rsidRPr="000D715C" w14:paraId="388525EC" w14:textId="77777777" w:rsidTr="00D819DE">
        <w:trPr>
          <w:trHeight w:val="259"/>
        </w:trPr>
        <w:tc>
          <w:tcPr>
            <w:tcW w:w="1030" w:type="dxa"/>
            <w:vAlign w:val="center"/>
          </w:tcPr>
          <w:p w14:paraId="2049CCDE" w14:textId="77777777" w:rsidR="00C85971" w:rsidRPr="000D715C" w:rsidRDefault="00C85971" w:rsidP="000D715C">
            <w:pPr>
              <w:spacing w:after="180" w:line="276" w:lineRule="auto"/>
              <w:rPr>
                <w:rFonts w:ascii="Times New Roman" w:eastAsia="Times New Roman" w:hAnsi="Times New Roman" w:cs="Times New Roman"/>
                <w:sz w:val="24"/>
              </w:rPr>
            </w:pPr>
            <w:r w:rsidRPr="000D715C">
              <w:rPr>
                <w:rFonts w:ascii="Times New Roman" w:hAnsi="Times New Roman"/>
                <w:sz w:val="24"/>
              </w:rPr>
              <w:t>14</w:t>
            </w:r>
          </w:p>
        </w:tc>
        <w:tc>
          <w:tcPr>
            <w:tcW w:w="7661" w:type="dxa"/>
            <w:shd w:val="clear" w:color="auto" w:fill="auto"/>
            <w:noWrap/>
            <w:vAlign w:val="bottom"/>
          </w:tcPr>
          <w:p w14:paraId="4A451C24" w14:textId="112F2896" w:rsidR="00C85971" w:rsidRPr="000D715C" w:rsidRDefault="00C85971" w:rsidP="000D715C">
            <w:pPr>
              <w:spacing w:after="180"/>
              <w:jc w:val="both"/>
              <w:rPr>
                <w:rFonts w:ascii="Times New Roman" w:eastAsia="Times New Roman" w:hAnsi="Times New Roman" w:cs="Times New Roman"/>
                <w:sz w:val="24"/>
              </w:rPr>
            </w:pPr>
            <w:r w:rsidRPr="000D715C">
              <w:rPr>
                <w:rFonts w:ascii="Times New Roman" w:hAnsi="Times New Roman"/>
                <w:sz w:val="24"/>
              </w:rPr>
              <w:t>Rimborso anticipato a discrezione dell</w:t>
            </w:r>
            <w:r w:rsidR="005424B9" w:rsidRPr="000D715C">
              <w:rPr>
                <w:rFonts w:ascii="Times New Roman" w:hAnsi="Times New Roman"/>
                <w:sz w:val="24"/>
              </w:rPr>
              <w:t>'</w:t>
            </w:r>
            <w:r w:rsidRPr="000D715C">
              <w:rPr>
                <w:rFonts w:ascii="Times New Roman" w:hAnsi="Times New Roman"/>
                <w:sz w:val="24"/>
              </w:rPr>
              <w:t>emittente soggetto ad approvazione preventiva dell</w:t>
            </w:r>
            <w:r w:rsidR="005424B9" w:rsidRPr="000D715C">
              <w:rPr>
                <w:rFonts w:ascii="Times New Roman" w:hAnsi="Times New Roman"/>
                <w:sz w:val="24"/>
              </w:rPr>
              <w:t>'</w:t>
            </w:r>
            <w:r w:rsidRPr="000D715C">
              <w:rPr>
                <w:rFonts w:ascii="Times New Roman" w:hAnsi="Times New Roman"/>
                <w:sz w:val="24"/>
              </w:rPr>
              <w:t xml:space="preserve">autorità di vigilanza </w:t>
            </w:r>
          </w:p>
          <w:p w14:paraId="58557375" w14:textId="3CA02EC1" w:rsidR="00C85971" w:rsidRPr="000D715C" w:rsidRDefault="00C85971" w:rsidP="000D715C">
            <w:pPr>
              <w:spacing w:after="180"/>
              <w:jc w:val="both"/>
              <w:rPr>
                <w:rFonts w:ascii="Times New Roman" w:eastAsia="Times New Roman" w:hAnsi="Times New Roman" w:cs="Times New Roman"/>
                <w:sz w:val="24"/>
              </w:rPr>
            </w:pPr>
            <w:r w:rsidRPr="000D715C">
              <w:rPr>
                <w:rFonts w:ascii="Times New Roman" w:hAnsi="Times New Roman"/>
                <w:sz w:val="24"/>
              </w:rPr>
              <w:t>Gli enti specificano se esiste un</w:t>
            </w:r>
            <w:r w:rsidR="005424B9" w:rsidRPr="000D715C">
              <w:rPr>
                <w:rFonts w:ascii="Times New Roman" w:hAnsi="Times New Roman"/>
                <w:sz w:val="24"/>
              </w:rPr>
              <w:t>'</w:t>
            </w:r>
            <w:r w:rsidRPr="000D715C">
              <w:rPr>
                <w:rFonts w:ascii="Times New Roman" w:hAnsi="Times New Roman"/>
                <w:sz w:val="24"/>
              </w:rPr>
              <w:t>opzione di rimborso anticipato a discrezione dell</w:t>
            </w:r>
            <w:r w:rsidR="005424B9" w:rsidRPr="000D715C">
              <w:rPr>
                <w:rFonts w:ascii="Times New Roman" w:hAnsi="Times New Roman"/>
                <w:sz w:val="24"/>
              </w:rPr>
              <w:t>'</w:t>
            </w:r>
            <w:r w:rsidRPr="000D715C">
              <w:rPr>
                <w:rFonts w:ascii="Times New Roman" w:hAnsi="Times New Roman"/>
                <w:sz w:val="24"/>
              </w:rPr>
              <w:t>emittente (tutti i tipi di opzioni di rimborso anticipato).</w:t>
            </w:r>
          </w:p>
          <w:p w14:paraId="613B3C4C" w14:textId="77777777" w:rsidR="00C85971" w:rsidRPr="000D715C" w:rsidRDefault="00C85971" w:rsidP="000D715C">
            <w:pPr>
              <w:spacing w:after="180"/>
              <w:jc w:val="both"/>
              <w:rPr>
                <w:rFonts w:ascii="Times New Roman" w:eastAsia="Times New Roman" w:hAnsi="Times New Roman" w:cs="Times New Roman"/>
                <w:i/>
                <w:sz w:val="24"/>
              </w:rPr>
            </w:pPr>
            <w:r w:rsidRPr="000D715C">
              <w:rPr>
                <w:rFonts w:ascii="Times New Roman" w:hAnsi="Times New Roman"/>
                <w:i/>
                <w:sz w:val="24"/>
              </w:rPr>
              <w:t>Selezionare dal menu: [SÌ] [NO]</w:t>
            </w:r>
          </w:p>
        </w:tc>
      </w:tr>
      <w:tr w:rsidR="00C85971" w:rsidRPr="000D715C" w14:paraId="7A6B78FD" w14:textId="77777777" w:rsidTr="00D819DE">
        <w:trPr>
          <w:trHeight w:val="259"/>
        </w:trPr>
        <w:tc>
          <w:tcPr>
            <w:tcW w:w="1030" w:type="dxa"/>
            <w:vAlign w:val="center"/>
          </w:tcPr>
          <w:p w14:paraId="670CA14E" w14:textId="77777777" w:rsidR="00C85971" w:rsidRPr="000D715C" w:rsidRDefault="00C85971" w:rsidP="000D715C">
            <w:pPr>
              <w:spacing w:after="180" w:line="276" w:lineRule="auto"/>
              <w:rPr>
                <w:rFonts w:ascii="Times New Roman" w:eastAsia="Times New Roman" w:hAnsi="Times New Roman" w:cs="Times New Roman"/>
                <w:sz w:val="24"/>
              </w:rPr>
            </w:pPr>
            <w:r w:rsidRPr="000D715C">
              <w:rPr>
                <w:rFonts w:ascii="Times New Roman" w:hAnsi="Times New Roman"/>
                <w:sz w:val="24"/>
              </w:rPr>
              <w:t>15</w:t>
            </w:r>
          </w:p>
        </w:tc>
        <w:tc>
          <w:tcPr>
            <w:tcW w:w="7661" w:type="dxa"/>
            <w:shd w:val="clear" w:color="auto" w:fill="auto"/>
            <w:noWrap/>
            <w:vAlign w:val="bottom"/>
          </w:tcPr>
          <w:p w14:paraId="6A950D9E" w14:textId="77777777" w:rsidR="00C85971" w:rsidRPr="000D715C" w:rsidRDefault="00C85971" w:rsidP="000D715C">
            <w:pPr>
              <w:spacing w:after="180"/>
              <w:jc w:val="both"/>
              <w:rPr>
                <w:rFonts w:ascii="Times New Roman" w:eastAsia="Times New Roman" w:hAnsi="Times New Roman" w:cs="Times New Roman"/>
                <w:sz w:val="24"/>
              </w:rPr>
            </w:pPr>
            <w:r w:rsidRPr="000D715C">
              <w:rPr>
                <w:rFonts w:ascii="Times New Roman" w:hAnsi="Times New Roman"/>
                <w:sz w:val="24"/>
              </w:rPr>
              <w:t>Data del rimborso anticipato facoltativo, date del rimborso anticipato eventuale e importo del rimborso</w:t>
            </w:r>
          </w:p>
          <w:p w14:paraId="73384FE5" w14:textId="16AEEC9A" w:rsidR="00C85971" w:rsidRPr="000D715C" w:rsidRDefault="00C85971" w:rsidP="000D715C">
            <w:pPr>
              <w:spacing w:after="180"/>
              <w:jc w:val="both"/>
              <w:rPr>
                <w:rFonts w:ascii="Times New Roman" w:eastAsia="Times New Roman" w:hAnsi="Times New Roman" w:cs="Times New Roman"/>
                <w:sz w:val="24"/>
              </w:rPr>
            </w:pPr>
            <w:r w:rsidRPr="000D715C">
              <w:rPr>
                <w:rFonts w:ascii="Times New Roman" w:hAnsi="Times New Roman"/>
                <w:sz w:val="24"/>
              </w:rPr>
              <w:t>Per gli strumenti con opzioni di rimborso anticipato a discrezione dell</w:t>
            </w:r>
            <w:r w:rsidR="005424B9" w:rsidRPr="000D715C">
              <w:rPr>
                <w:rFonts w:ascii="Times New Roman" w:hAnsi="Times New Roman"/>
                <w:sz w:val="24"/>
              </w:rPr>
              <w:t>'</w:t>
            </w:r>
            <w:r w:rsidRPr="000D715C">
              <w:rPr>
                <w:rFonts w:ascii="Times New Roman" w:hAnsi="Times New Roman"/>
                <w:sz w:val="24"/>
              </w:rPr>
              <w:t>emittente, gli enti specificano la data del primo rimborso anticipato se lo strumento prevede un rimborso anticipato ad una data prestabilita (giorno, mese e anno) e inoltre indicano se lo strumento prevede l</w:t>
            </w:r>
            <w:r w:rsidR="005424B9" w:rsidRPr="000D715C">
              <w:rPr>
                <w:rFonts w:ascii="Times New Roman" w:hAnsi="Times New Roman"/>
                <w:sz w:val="24"/>
              </w:rPr>
              <w:t>'</w:t>
            </w:r>
            <w:r w:rsidRPr="000D715C">
              <w:rPr>
                <w:rFonts w:ascii="Times New Roman" w:hAnsi="Times New Roman"/>
                <w:sz w:val="24"/>
              </w:rPr>
              <w:t>opzione di rimborso anticipato legata a eventi fiscali e/o regolamentari. Gli enti specificano inoltre il prezzo di rimborso, che contribuisce a valutare la stabilità dello strumento.</w:t>
            </w:r>
          </w:p>
          <w:p w14:paraId="525DFACD" w14:textId="77777777" w:rsidR="00C85971" w:rsidRPr="000D715C" w:rsidRDefault="00C85971" w:rsidP="000D715C">
            <w:pPr>
              <w:spacing w:after="180"/>
              <w:jc w:val="both"/>
              <w:rPr>
                <w:rFonts w:ascii="Times New Roman" w:eastAsia="Times New Roman" w:hAnsi="Times New Roman" w:cs="Times New Roman"/>
                <w:i/>
                <w:sz w:val="24"/>
              </w:rPr>
            </w:pPr>
            <w:r w:rsidRPr="000D715C">
              <w:rPr>
                <w:rFonts w:ascii="Times New Roman" w:hAnsi="Times New Roman"/>
                <w:i/>
                <w:sz w:val="24"/>
              </w:rPr>
              <w:t>Testo libero</w:t>
            </w:r>
          </w:p>
        </w:tc>
      </w:tr>
      <w:tr w:rsidR="00C85971" w:rsidRPr="000D715C" w14:paraId="23AB55A7" w14:textId="77777777" w:rsidTr="00D819DE">
        <w:trPr>
          <w:trHeight w:val="259"/>
        </w:trPr>
        <w:tc>
          <w:tcPr>
            <w:tcW w:w="1030" w:type="dxa"/>
            <w:vAlign w:val="center"/>
          </w:tcPr>
          <w:p w14:paraId="080D7F0B" w14:textId="77777777" w:rsidR="00C85971" w:rsidRPr="000D715C" w:rsidRDefault="00C85971" w:rsidP="00B72562">
            <w:pPr>
              <w:keepNext/>
              <w:keepLines/>
              <w:spacing w:after="200" w:line="276" w:lineRule="auto"/>
              <w:rPr>
                <w:rFonts w:ascii="Times New Roman" w:eastAsia="Times New Roman" w:hAnsi="Times New Roman" w:cs="Times New Roman"/>
                <w:sz w:val="24"/>
              </w:rPr>
            </w:pPr>
            <w:r w:rsidRPr="000D715C">
              <w:rPr>
                <w:rFonts w:ascii="Times New Roman" w:hAnsi="Times New Roman"/>
                <w:sz w:val="24"/>
              </w:rPr>
              <w:lastRenderedPageBreak/>
              <w:t>16</w:t>
            </w:r>
          </w:p>
        </w:tc>
        <w:tc>
          <w:tcPr>
            <w:tcW w:w="7661" w:type="dxa"/>
            <w:shd w:val="clear" w:color="auto" w:fill="auto"/>
            <w:noWrap/>
            <w:vAlign w:val="bottom"/>
          </w:tcPr>
          <w:p w14:paraId="08CF89AA" w14:textId="77777777" w:rsidR="00C85971" w:rsidRPr="000D715C" w:rsidRDefault="00C85971" w:rsidP="00B72562">
            <w:pPr>
              <w:keepNext/>
              <w:keepLines/>
              <w:spacing w:after="180"/>
              <w:jc w:val="both"/>
              <w:rPr>
                <w:rFonts w:ascii="Times New Roman" w:eastAsia="Times New Roman" w:hAnsi="Times New Roman" w:cs="Times New Roman"/>
                <w:sz w:val="24"/>
              </w:rPr>
            </w:pPr>
            <w:r w:rsidRPr="000D715C">
              <w:rPr>
                <w:rFonts w:ascii="Times New Roman" w:hAnsi="Times New Roman"/>
                <w:sz w:val="24"/>
              </w:rPr>
              <w:t>Date successive di rimborso anticipato, se del caso</w:t>
            </w:r>
          </w:p>
          <w:p w14:paraId="1CE0E8DF" w14:textId="5289663F" w:rsidR="00C85971" w:rsidRPr="000D715C" w:rsidRDefault="00C85971" w:rsidP="00B72562">
            <w:pPr>
              <w:keepNext/>
              <w:keepLines/>
              <w:spacing w:after="180"/>
              <w:jc w:val="both"/>
              <w:rPr>
                <w:rFonts w:ascii="Times New Roman" w:eastAsia="Times New Roman" w:hAnsi="Times New Roman" w:cs="Times New Roman"/>
                <w:sz w:val="24"/>
              </w:rPr>
            </w:pPr>
            <w:r w:rsidRPr="000D715C">
              <w:rPr>
                <w:rFonts w:ascii="Times New Roman" w:hAnsi="Times New Roman"/>
                <w:sz w:val="24"/>
              </w:rPr>
              <w:t>Gli enti specificano l</w:t>
            </w:r>
            <w:r w:rsidR="005424B9" w:rsidRPr="000D715C">
              <w:rPr>
                <w:rFonts w:ascii="Times New Roman" w:hAnsi="Times New Roman"/>
                <w:sz w:val="24"/>
              </w:rPr>
              <w:t>'</w:t>
            </w:r>
            <w:r w:rsidRPr="000D715C">
              <w:rPr>
                <w:rFonts w:ascii="Times New Roman" w:hAnsi="Times New Roman"/>
                <w:sz w:val="24"/>
              </w:rPr>
              <w:t>esistenza e la frequenza delle date di rimborso successive, se del caso, che contribuiscono a valutare la stabilità dello strumento.</w:t>
            </w:r>
          </w:p>
          <w:p w14:paraId="7B5269A2" w14:textId="77777777" w:rsidR="00C85971" w:rsidRPr="000D715C" w:rsidRDefault="00C85971" w:rsidP="00B72562">
            <w:pPr>
              <w:keepNext/>
              <w:keepLines/>
              <w:spacing w:after="180"/>
              <w:jc w:val="both"/>
              <w:rPr>
                <w:rFonts w:ascii="Times New Roman" w:eastAsia="Times New Roman" w:hAnsi="Times New Roman" w:cs="Times New Roman"/>
                <w:sz w:val="24"/>
              </w:rPr>
            </w:pPr>
            <w:r w:rsidRPr="000D715C">
              <w:rPr>
                <w:rFonts w:ascii="Times New Roman" w:hAnsi="Times New Roman"/>
                <w:i/>
                <w:sz w:val="24"/>
              </w:rPr>
              <w:t>Testo libero</w:t>
            </w:r>
          </w:p>
        </w:tc>
      </w:tr>
      <w:tr w:rsidR="00C85971" w:rsidRPr="000D715C" w14:paraId="130CD498" w14:textId="77777777" w:rsidTr="00D819DE">
        <w:trPr>
          <w:trHeight w:val="259"/>
        </w:trPr>
        <w:tc>
          <w:tcPr>
            <w:tcW w:w="1030" w:type="dxa"/>
            <w:vAlign w:val="center"/>
          </w:tcPr>
          <w:p w14:paraId="7F01AD6C" w14:textId="77777777" w:rsidR="00C85971" w:rsidRPr="000D715C" w:rsidRDefault="00C85971" w:rsidP="00D819DE">
            <w:pPr>
              <w:spacing w:after="200" w:line="276" w:lineRule="auto"/>
              <w:rPr>
                <w:rFonts w:ascii="Times New Roman" w:eastAsia="Times New Roman" w:hAnsi="Times New Roman" w:cs="Times New Roman"/>
                <w:sz w:val="24"/>
              </w:rPr>
            </w:pPr>
            <w:r w:rsidRPr="000D715C">
              <w:rPr>
                <w:rFonts w:ascii="Times New Roman" w:hAnsi="Times New Roman"/>
                <w:sz w:val="24"/>
              </w:rPr>
              <w:t>17</w:t>
            </w:r>
          </w:p>
        </w:tc>
        <w:tc>
          <w:tcPr>
            <w:tcW w:w="7661" w:type="dxa"/>
            <w:shd w:val="clear" w:color="auto" w:fill="auto"/>
            <w:noWrap/>
            <w:vAlign w:val="bottom"/>
          </w:tcPr>
          <w:p w14:paraId="7E670C8E" w14:textId="77777777" w:rsidR="00C85971" w:rsidRPr="000D715C" w:rsidRDefault="00C85971" w:rsidP="000D715C">
            <w:pPr>
              <w:autoSpaceDE w:val="0"/>
              <w:autoSpaceDN w:val="0"/>
              <w:adjustRightInd w:val="0"/>
              <w:spacing w:after="180"/>
              <w:jc w:val="both"/>
              <w:rPr>
                <w:rFonts w:ascii="Times New Roman" w:eastAsia="Times New Roman" w:hAnsi="Times New Roman" w:cs="Times New Roman"/>
                <w:sz w:val="24"/>
              </w:rPr>
            </w:pPr>
            <w:r w:rsidRPr="000D715C">
              <w:rPr>
                <w:rFonts w:ascii="Times New Roman" w:hAnsi="Times New Roman"/>
                <w:sz w:val="24"/>
              </w:rPr>
              <w:t>Cedole/dividendi fissi o variabili</w:t>
            </w:r>
          </w:p>
          <w:p w14:paraId="52599B65" w14:textId="47904C10" w:rsidR="00C85971" w:rsidRPr="000D715C" w:rsidRDefault="00C85971" w:rsidP="000D715C">
            <w:pPr>
              <w:autoSpaceDE w:val="0"/>
              <w:autoSpaceDN w:val="0"/>
              <w:adjustRightInd w:val="0"/>
              <w:spacing w:after="180"/>
              <w:jc w:val="both"/>
              <w:rPr>
                <w:rFonts w:ascii="Times New Roman" w:eastAsia="Times New Roman" w:hAnsi="Times New Roman" w:cs="Times New Roman"/>
                <w:sz w:val="24"/>
              </w:rPr>
            </w:pPr>
            <w:r w:rsidRPr="000D715C">
              <w:rPr>
                <w:rFonts w:ascii="Times New Roman" w:hAnsi="Times New Roman"/>
                <w:sz w:val="24"/>
              </w:rPr>
              <w:t>Gli enti specificano se le cedole/i dividendi sono fissi nell</w:t>
            </w:r>
            <w:r w:rsidR="005424B9" w:rsidRPr="000D715C">
              <w:rPr>
                <w:rFonts w:ascii="Times New Roman" w:hAnsi="Times New Roman"/>
                <w:sz w:val="24"/>
              </w:rPr>
              <w:t>'</w:t>
            </w:r>
            <w:r w:rsidRPr="000D715C">
              <w:rPr>
                <w:rFonts w:ascii="Times New Roman" w:hAnsi="Times New Roman"/>
                <w:sz w:val="24"/>
              </w:rPr>
              <w:t>arco della vita dello strumento, variabili nell</w:t>
            </w:r>
            <w:r w:rsidR="005424B9" w:rsidRPr="000D715C">
              <w:rPr>
                <w:rFonts w:ascii="Times New Roman" w:hAnsi="Times New Roman"/>
                <w:sz w:val="24"/>
              </w:rPr>
              <w:t>'</w:t>
            </w:r>
            <w:r w:rsidRPr="000D715C">
              <w:rPr>
                <w:rFonts w:ascii="Times New Roman" w:hAnsi="Times New Roman"/>
                <w:sz w:val="24"/>
              </w:rPr>
              <w:t xml:space="preserve">arco della vita dello strumento, attualmente fissi ma destinati a divenire variabili in futuro o attualmente variabili ma destinati a divenire fissi in futuro. </w:t>
            </w:r>
          </w:p>
          <w:p w14:paraId="52AB5C9D" w14:textId="77777777" w:rsidR="00C85971" w:rsidRPr="000D715C" w:rsidRDefault="00C85971" w:rsidP="000D715C">
            <w:pPr>
              <w:spacing w:after="180"/>
              <w:jc w:val="both"/>
              <w:rPr>
                <w:rFonts w:ascii="Times New Roman" w:eastAsia="Times New Roman" w:hAnsi="Times New Roman" w:cs="Times New Roman"/>
                <w:i/>
                <w:sz w:val="24"/>
              </w:rPr>
            </w:pPr>
            <w:r w:rsidRPr="000D715C">
              <w:rPr>
                <w:rFonts w:ascii="Times New Roman" w:hAnsi="Times New Roman"/>
                <w:i/>
                <w:sz w:val="24"/>
              </w:rPr>
              <w:t xml:space="preserve">Selezionare dal menu: [Fissi], [Variabili], [Da fissi a variabili], [Da variabili a fissi] </w:t>
            </w:r>
          </w:p>
        </w:tc>
      </w:tr>
      <w:tr w:rsidR="00C85971" w:rsidRPr="000D715C" w14:paraId="280F0BBF" w14:textId="77777777" w:rsidTr="00D819DE">
        <w:trPr>
          <w:trHeight w:val="259"/>
        </w:trPr>
        <w:tc>
          <w:tcPr>
            <w:tcW w:w="1030" w:type="dxa"/>
            <w:vAlign w:val="center"/>
          </w:tcPr>
          <w:p w14:paraId="6E4491B9" w14:textId="77777777" w:rsidR="00C85971" w:rsidRPr="000D715C" w:rsidRDefault="00C85971" w:rsidP="00D819DE">
            <w:pPr>
              <w:spacing w:after="200" w:line="276" w:lineRule="auto"/>
              <w:rPr>
                <w:rFonts w:ascii="Times New Roman" w:eastAsia="Times New Roman" w:hAnsi="Times New Roman" w:cs="Times New Roman"/>
                <w:sz w:val="24"/>
              </w:rPr>
            </w:pPr>
            <w:r w:rsidRPr="000D715C">
              <w:rPr>
                <w:rFonts w:ascii="Times New Roman" w:hAnsi="Times New Roman"/>
                <w:sz w:val="24"/>
              </w:rPr>
              <w:t>18</w:t>
            </w:r>
          </w:p>
        </w:tc>
        <w:tc>
          <w:tcPr>
            <w:tcW w:w="7661" w:type="dxa"/>
            <w:shd w:val="clear" w:color="auto" w:fill="auto"/>
            <w:noWrap/>
            <w:vAlign w:val="bottom"/>
          </w:tcPr>
          <w:p w14:paraId="5797637C" w14:textId="77777777" w:rsidR="00C85971" w:rsidRPr="000D715C" w:rsidRDefault="00C85971" w:rsidP="000D715C">
            <w:pPr>
              <w:autoSpaceDE w:val="0"/>
              <w:autoSpaceDN w:val="0"/>
              <w:adjustRightInd w:val="0"/>
              <w:spacing w:after="180"/>
              <w:jc w:val="both"/>
              <w:rPr>
                <w:rFonts w:ascii="Times New Roman" w:eastAsia="Times New Roman" w:hAnsi="Times New Roman" w:cs="Times New Roman"/>
                <w:sz w:val="24"/>
              </w:rPr>
            </w:pPr>
            <w:r w:rsidRPr="000D715C">
              <w:rPr>
                <w:rFonts w:ascii="Times New Roman" w:hAnsi="Times New Roman"/>
                <w:sz w:val="24"/>
              </w:rPr>
              <w:t xml:space="preserve">Tasso della cedola ed eventuale indice collegato </w:t>
            </w:r>
          </w:p>
          <w:p w14:paraId="65D080DC" w14:textId="77777777" w:rsidR="00C85971" w:rsidRPr="000D715C" w:rsidRDefault="00C85971" w:rsidP="000D715C">
            <w:pPr>
              <w:autoSpaceDE w:val="0"/>
              <w:autoSpaceDN w:val="0"/>
              <w:adjustRightInd w:val="0"/>
              <w:spacing w:after="180"/>
              <w:jc w:val="both"/>
              <w:rPr>
                <w:rFonts w:ascii="Times New Roman" w:eastAsia="Times New Roman" w:hAnsi="Times New Roman" w:cs="Times New Roman"/>
                <w:sz w:val="24"/>
              </w:rPr>
            </w:pPr>
            <w:r w:rsidRPr="000D715C">
              <w:rPr>
                <w:rFonts w:ascii="Times New Roman" w:hAnsi="Times New Roman"/>
                <w:sz w:val="24"/>
              </w:rPr>
              <w:t xml:space="preserve">Gli enti specificano il tasso della cedola dello strumento ed eventuali indici di riferimento cui è collegato il tasso della cedola/ del dividendo. </w:t>
            </w:r>
          </w:p>
          <w:p w14:paraId="0AEC5895" w14:textId="77777777" w:rsidR="00C85971" w:rsidRPr="000D715C" w:rsidRDefault="00C85971" w:rsidP="000D715C">
            <w:pPr>
              <w:spacing w:after="180"/>
              <w:jc w:val="both"/>
              <w:rPr>
                <w:rFonts w:ascii="Times New Roman" w:eastAsia="Times New Roman" w:hAnsi="Times New Roman" w:cs="Times New Roman"/>
                <w:i/>
                <w:sz w:val="24"/>
              </w:rPr>
            </w:pPr>
            <w:r w:rsidRPr="000D715C">
              <w:rPr>
                <w:rFonts w:ascii="Times New Roman" w:hAnsi="Times New Roman"/>
                <w:i/>
                <w:sz w:val="24"/>
              </w:rPr>
              <w:t xml:space="preserve">Testo libero </w:t>
            </w:r>
          </w:p>
        </w:tc>
      </w:tr>
      <w:tr w:rsidR="00C85971" w:rsidRPr="000D715C" w14:paraId="5E04C258" w14:textId="77777777" w:rsidTr="00D819DE">
        <w:trPr>
          <w:trHeight w:val="259"/>
        </w:trPr>
        <w:tc>
          <w:tcPr>
            <w:tcW w:w="1030" w:type="dxa"/>
            <w:vAlign w:val="center"/>
          </w:tcPr>
          <w:p w14:paraId="64425A07" w14:textId="77777777" w:rsidR="00C85971" w:rsidRPr="000D715C" w:rsidRDefault="00C85971" w:rsidP="00D819DE">
            <w:pPr>
              <w:spacing w:after="200" w:line="276" w:lineRule="auto"/>
              <w:rPr>
                <w:rFonts w:ascii="Times New Roman" w:eastAsia="Times New Roman" w:hAnsi="Times New Roman" w:cs="Times New Roman"/>
                <w:sz w:val="24"/>
              </w:rPr>
            </w:pPr>
            <w:r w:rsidRPr="000D715C">
              <w:rPr>
                <w:rFonts w:ascii="Times New Roman" w:hAnsi="Times New Roman"/>
                <w:sz w:val="24"/>
              </w:rPr>
              <w:t>19</w:t>
            </w:r>
          </w:p>
        </w:tc>
        <w:tc>
          <w:tcPr>
            <w:tcW w:w="7661" w:type="dxa"/>
            <w:shd w:val="clear" w:color="auto" w:fill="auto"/>
            <w:noWrap/>
            <w:vAlign w:val="bottom"/>
          </w:tcPr>
          <w:p w14:paraId="6084AEDC" w14:textId="290284C7" w:rsidR="00C85971" w:rsidRPr="000D715C" w:rsidRDefault="00C85971" w:rsidP="000D715C">
            <w:pPr>
              <w:autoSpaceDE w:val="0"/>
              <w:autoSpaceDN w:val="0"/>
              <w:adjustRightInd w:val="0"/>
              <w:spacing w:after="180"/>
              <w:jc w:val="both"/>
              <w:rPr>
                <w:rFonts w:ascii="Times New Roman" w:eastAsia="Times New Roman" w:hAnsi="Times New Roman" w:cs="Times New Roman"/>
                <w:sz w:val="24"/>
              </w:rPr>
            </w:pPr>
            <w:r w:rsidRPr="000D715C">
              <w:rPr>
                <w:rFonts w:ascii="Times New Roman" w:hAnsi="Times New Roman"/>
                <w:sz w:val="24"/>
              </w:rPr>
              <w:t xml:space="preserve">Presenza di un </w:t>
            </w:r>
            <w:r w:rsidR="005424B9" w:rsidRPr="000D715C">
              <w:rPr>
                <w:rFonts w:ascii="Times New Roman" w:hAnsi="Times New Roman"/>
                <w:sz w:val="24"/>
              </w:rPr>
              <w:t>"</w:t>
            </w:r>
            <w:r w:rsidRPr="000D715C">
              <w:rPr>
                <w:rFonts w:ascii="Times New Roman" w:hAnsi="Times New Roman"/>
                <w:sz w:val="24"/>
              </w:rPr>
              <w:t>dividend stopper</w:t>
            </w:r>
            <w:r w:rsidR="005424B9" w:rsidRPr="000D715C">
              <w:rPr>
                <w:rFonts w:ascii="Times New Roman" w:hAnsi="Times New Roman"/>
                <w:sz w:val="24"/>
              </w:rPr>
              <w:t>"</w:t>
            </w:r>
            <w:r w:rsidRPr="000D715C">
              <w:rPr>
                <w:rFonts w:ascii="Times New Roman" w:hAnsi="Times New Roman"/>
                <w:sz w:val="24"/>
              </w:rPr>
              <w:t xml:space="preserve"> </w:t>
            </w:r>
          </w:p>
          <w:p w14:paraId="5D351279" w14:textId="28F77D35" w:rsidR="00C85971" w:rsidRPr="000D715C" w:rsidRDefault="00C85971" w:rsidP="000D715C">
            <w:pPr>
              <w:autoSpaceDE w:val="0"/>
              <w:autoSpaceDN w:val="0"/>
              <w:adjustRightInd w:val="0"/>
              <w:spacing w:after="180"/>
              <w:jc w:val="both"/>
              <w:rPr>
                <w:rFonts w:ascii="Times New Roman" w:eastAsia="Times New Roman" w:hAnsi="Times New Roman" w:cs="Times New Roman"/>
                <w:sz w:val="24"/>
              </w:rPr>
            </w:pPr>
            <w:r w:rsidRPr="000D715C">
              <w:rPr>
                <w:rFonts w:ascii="Times New Roman" w:hAnsi="Times New Roman"/>
                <w:sz w:val="24"/>
              </w:rPr>
              <w:t xml:space="preserve">Gli enti specificano se il non pagamento di cedole o dividendi sullo strumento comporta il divieto di pagamento di dividendi sulle azioni ordinarie (esistenza di un </w:t>
            </w:r>
            <w:r w:rsidR="005424B9" w:rsidRPr="000D715C">
              <w:rPr>
                <w:rFonts w:ascii="Times New Roman" w:hAnsi="Times New Roman"/>
                <w:sz w:val="24"/>
              </w:rPr>
              <w:t>"</w:t>
            </w:r>
            <w:r w:rsidRPr="000D715C">
              <w:rPr>
                <w:rFonts w:ascii="Times New Roman" w:hAnsi="Times New Roman"/>
                <w:sz w:val="24"/>
              </w:rPr>
              <w:t>dividend stopper</w:t>
            </w:r>
            <w:r w:rsidR="005424B9" w:rsidRPr="000D715C">
              <w:rPr>
                <w:rFonts w:ascii="Times New Roman" w:hAnsi="Times New Roman"/>
                <w:sz w:val="24"/>
              </w:rPr>
              <w:t>"</w:t>
            </w:r>
            <w:r w:rsidRPr="000D715C">
              <w:rPr>
                <w:rFonts w:ascii="Times New Roman" w:hAnsi="Times New Roman"/>
                <w:sz w:val="24"/>
              </w:rPr>
              <w:t xml:space="preserve">). </w:t>
            </w:r>
          </w:p>
          <w:p w14:paraId="5812A304" w14:textId="77777777" w:rsidR="00C85971" w:rsidRPr="000D715C" w:rsidRDefault="00C85971" w:rsidP="000D715C">
            <w:pPr>
              <w:spacing w:after="180"/>
              <w:jc w:val="both"/>
              <w:rPr>
                <w:rFonts w:ascii="Times New Roman" w:eastAsia="Times New Roman" w:hAnsi="Times New Roman" w:cs="Times New Roman"/>
                <w:i/>
                <w:sz w:val="24"/>
              </w:rPr>
            </w:pPr>
            <w:r w:rsidRPr="000D715C">
              <w:rPr>
                <w:rFonts w:ascii="Times New Roman" w:hAnsi="Times New Roman"/>
                <w:i/>
                <w:sz w:val="24"/>
              </w:rPr>
              <w:t xml:space="preserve">Selezionare dal menu: [SÌ] [NO] </w:t>
            </w:r>
          </w:p>
        </w:tc>
      </w:tr>
      <w:tr w:rsidR="00C85971" w:rsidRPr="000D715C" w14:paraId="3D392B8E" w14:textId="77777777" w:rsidTr="00D819DE">
        <w:trPr>
          <w:trHeight w:val="259"/>
        </w:trPr>
        <w:tc>
          <w:tcPr>
            <w:tcW w:w="1030" w:type="dxa"/>
            <w:vAlign w:val="center"/>
          </w:tcPr>
          <w:p w14:paraId="77A08767" w14:textId="77777777" w:rsidR="00C85971" w:rsidRPr="000D715C" w:rsidRDefault="00C85971" w:rsidP="00D819DE">
            <w:pPr>
              <w:spacing w:after="200" w:line="276" w:lineRule="auto"/>
              <w:rPr>
                <w:rFonts w:ascii="Times New Roman" w:eastAsia="Times New Roman" w:hAnsi="Times New Roman" w:cs="Times New Roman"/>
                <w:sz w:val="24"/>
              </w:rPr>
            </w:pPr>
            <w:r w:rsidRPr="000D715C">
              <w:rPr>
                <w:rFonts w:ascii="Times New Roman" w:hAnsi="Times New Roman"/>
                <w:sz w:val="24"/>
              </w:rPr>
              <w:t>EU-20a</w:t>
            </w:r>
          </w:p>
        </w:tc>
        <w:tc>
          <w:tcPr>
            <w:tcW w:w="7661" w:type="dxa"/>
            <w:shd w:val="clear" w:color="auto" w:fill="auto"/>
            <w:noWrap/>
            <w:vAlign w:val="bottom"/>
          </w:tcPr>
          <w:p w14:paraId="647767A9" w14:textId="77777777" w:rsidR="00C85971" w:rsidRPr="000D715C" w:rsidRDefault="00C85971" w:rsidP="000D715C">
            <w:pPr>
              <w:spacing w:after="180"/>
              <w:jc w:val="both"/>
              <w:rPr>
                <w:rFonts w:ascii="Times New Roman" w:eastAsia="Times New Roman" w:hAnsi="Times New Roman" w:cs="Times New Roman"/>
                <w:sz w:val="24"/>
              </w:rPr>
            </w:pPr>
            <w:r w:rsidRPr="000D715C">
              <w:rPr>
                <w:rFonts w:ascii="Times New Roman" w:hAnsi="Times New Roman"/>
                <w:sz w:val="24"/>
              </w:rPr>
              <w:t xml:space="preserve">Pienamente discrezionale, parzialmente discrezionale o obbligatorio (in termini di tempo) </w:t>
            </w:r>
          </w:p>
          <w:p w14:paraId="53D0B84D" w14:textId="4034F455" w:rsidR="00C85971" w:rsidRPr="000D715C" w:rsidRDefault="00C85971" w:rsidP="000D715C">
            <w:pPr>
              <w:spacing w:after="180"/>
              <w:jc w:val="both"/>
              <w:rPr>
                <w:rFonts w:ascii="Times New Roman" w:eastAsia="Times New Roman" w:hAnsi="Times New Roman" w:cs="Times New Roman"/>
                <w:sz w:val="24"/>
              </w:rPr>
            </w:pPr>
            <w:r w:rsidRPr="000D715C">
              <w:rPr>
                <w:rFonts w:ascii="Times New Roman" w:hAnsi="Times New Roman"/>
                <w:sz w:val="24"/>
              </w:rPr>
              <w:t>Gli enti specificano se l</w:t>
            </w:r>
            <w:r w:rsidR="005424B9" w:rsidRPr="000D715C">
              <w:rPr>
                <w:rFonts w:ascii="Times New Roman" w:hAnsi="Times New Roman"/>
                <w:sz w:val="24"/>
              </w:rPr>
              <w:t>'</w:t>
            </w:r>
            <w:r w:rsidRPr="000D715C">
              <w:rPr>
                <w:rFonts w:ascii="Times New Roman" w:hAnsi="Times New Roman"/>
                <w:sz w:val="24"/>
              </w:rPr>
              <w:t>emittente gode di discrezionalità piena, parziale o nulla nel decidere in merito al pagamento della cedola/del dividendo. Se l</w:t>
            </w:r>
            <w:r w:rsidR="005424B9" w:rsidRPr="000D715C">
              <w:rPr>
                <w:rFonts w:ascii="Times New Roman" w:hAnsi="Times New Roman"/>
                <w:sz w:val="24"/>
              </w:rPr>
              <w:t>'</w:t>
            </w:r>
            <w:r w:rsidRPr="000D715C">
              <w:rPr>
                <w:rFonts w:ascii="Times New Roman" w:hAnsi="Times New Roman"/>
                <w:sz w:val="24"/>
              </w:rPr>
              <w:t xml:space="preserve">ente gode in qualunque circostanza della piena discrezionalità di annullare il pagamento delle cedole/dei dividendi, selezionare </w:t>
            </w:r>
            <w:r w:rsidR="005424B9" w:rsidRPr="000D715C">
              <w:rPr>
                <w:rFonts w:ascii="Times New Roman" w:hAnsi="Times New Roman"/>
                <w:sz w:val="24"/>
              </w:rPr>
              <w:t>"</w:t>
            </w:r>
            <w:r w:rsidRPr="000D715C">
              <w:rPr>
                <w:rFonts w:ascii="Times New Roman" w:hAnsi="Times New Roman"/>
                <w:sz w:val="24"/>
              </w:rPr>
              <w:t>pienamente discrezionale</w:t>
            </w:r>
            <w:r w:rsidR="005424B9" w:rsidRPr="000D715C">
              <w:rPr>
                <w:rFonts w:ascii="Times New Roman" w:hAnsi="Times New Roman"/>
                <w:sz w:val="24"/>
              </w:rPr>
              <w:t>"</w:t>
            </w:r>
            <w:r w:rsidRPr="000D715C">
              <w:rPr>
                <w:rFonts w:ascii="Times New Roman" w:hAnsi="Times New Roman"/>
                <w:sz w:val="24"/>
              </w:rPr>
              <w:t xml:space="preserve"> (anche in presenza di </w:t>
            </w:r>
            <w:r w:rsidR="005424B9" w:rsidRPr="000D715C">
              <w:rPr>
                <w:rFonts w:ascii="Times New Roman" w:hAnsi="Times New Roman"/>
                <w:sz w:val="24"/>
              </w:rPr>
              <w:t>"</w:t>
            </w:r>
            <w:r w:rsidRPr="000D715C">
              <w:rPr>
                <w:rFonts w:ascii="Times New Roman" w:hAnsi="Times New Roman"/>
                <w:sz w:val="24"/>
              </w:rPr>
              <w:t>dividend stopper</w:t>
            </w:r>
            <w:r w:rsidR="005424B9" w:rsidRPr="000D715C">
              <w:rPr>
                <w:rFonts w:ascii="Times New Roman" w:hAnsi="Times New Roman"/>
                <w:sz w:val="24"/>
              </w:rPr>
              <w:t>"</w:t>
            </w:r>
            <w:r w:rsidRPr="000D715C">
              <w:rPr>
                <w:rFonts w:ascii="Times New Roman" w:hAnsi="Times New Roman"/>
                <w:sz w:val="24"/>
              </w:rPr>
              <w:t xml:space="preserve"> che non impediscono all</w:t>
            </w:r>
            <w:r w:rsidR="005424B9" w:rsidRPr="000D715C">
              <w:rPr>
                <w:rFonts w:ascii="Times New Roman" w:hAnsi="Times New Roman"/>
                <w:sz w:val="24"/>
              </w:rPr>
              <w:t>'</w:t>
            </w:r>
            <w:r w:rsidRPr="000D715C">
              <w:rPr>
                <w:rFonts w:ascii="Times New Roman" w:hAnsi="Times New Roman"/>
                <w:sz w:val="24"/>
              </w:rPr>
              <w:t>ente di annullare i pagamenti relativi allo strumento). Se l</w:t>
            </w:r>
            <w:r w:rsidR="005424B9" w:rsidRPr="000D715C">
              <w:rPr>
                <w:rFonts w:ascii="Times New Roman" w:hAnsi="Times New Roman"/>
                <w:sz w:val="24"/>
              </w:rPr>
              <w:t>'</w:t>
            </w:r>
            <w:r w:rsidRPr="000D715C">
              <w:rPr>
                <w:rFonts w:ascii="Times New Roman" w:hAnsi="Times New Roman"/>
                <w:sz w:val="24"/>
              </w:rPr>
              <w:t xml:space="preserve">annullamento del pagamento è sottoposto a determinate condizioni (ad es. fondi propri al di sotto di una determinata soglia), selezionare </w:t>
            </w:r>
            <w:r w:rsidR="005424B9" w:rsidRPr="000D715C">
              <w:rPr>
                <w:rFonts w:ascii="Times New Roman" w:hAnsi="Times New Roman"/>
                <w:sz w:val="24"/>
              </w:rPr>
              <w:t>"</w:t>
            </w:r>
            <w:r w:rsidRPr="000D715C">
              <w:rPr>
                <w:rFonts w:ascii="Times New Roman" w:hAnsi="Times New Roman"/>
                <w:sz w:val="24"/>
              </w:rPr>
              <w:t>parzialmente discrezionale</w:t>
            </w:r>
            <w:r w:rsidR="005424B9" w:rsidRPr="000D715C">
              <w:rPr>
                <w:rFonts w:ascii="Times New Roman" w:hAnsi="Times New Roman"/>
                <w:sz w:val="24"/>
              </w:rPr>
              <w:t>"</w:t>
            </w:r>
            <w:r w:rsidRPr="000D715C">
              <w:rPr>
                <w:rFonts w:ascii="Times New Roman" w:hAnsi="Times New Roman"/>
                <w:sz w:val="24"/>
              </w:rPr>
              <w:t>. Se l</w:t>
            </w:r>
            <w:r w:rsidR="005424B9" w:rsidRPr="000D715C">
              <w:rPr>
                <w:rFonts w:ascii="Times New Roman" w:hAnsi="Times New Roman"/>
                <w:sz w:val="24"/>
              </w:rPr>
              <w:t>'</w:t>
            </w:r>
            <w:r w:rsidRPr="000D715C">
              <w:rPr>
                <w:rFonts w:ascii="Times New Roman" w:hAnsi="Times New Roman"/>
                <w:sz w:val="24"/>
              </w:rPr>
              <w:t xml:space="preserve">ente non può annullare il pagamento se non in caso di insolvenza, selezionare </w:t>
            </w:r>
            <w:r w:rsidR="005424B9" w:rsidRPr="000D715C">
              <w:rPr>
                <w:rFonts w:ascii="Times New Roman" w:hAnsi="Times New Roman"/>
                <w:sz w:val="24"/>
              </w:rPr>
              <w:t>"</w:t>
            </w:r>
            <w:r w:rsidRPr="000D715C">
              <w:rPr>
                <w:rFonts w:ascii="Times New Roman" w:hAnsi="Times New Roman"/>
                <w:sz w:val="24"/>
              </w:rPr>
              <w:t>obbligatorio</w:t>
            </w:r>
            <w:r w:rsidR="005424B9" w:rsidRPr="000D715C">
              <w:rPr>
                <w:rFonts w:ascii="Times New Roman" w:hAnsi="Times New Roman"/>
                <w:sz w:val="24"/>
              </w:rPr>
              <w:t>"</w:t>
            </w:r>
            <w:r w:rsidRPr="000D715C">
              <w:rPr>
                <w:rFonts w:ascii="Times New Roman" w:hAnsi="Times New Roman"/>
                <w:sz w:val="24"/>
              </w:rPr>
              <w:t>.</w:t>
            </w:r>
          </w:p>
          <w:p w14:paraId="093B501F" w14:textId="77777777" w:rsidR="00C85971" w:rsidRPr="000D715C" w:rsidRDefault="00C85971" w:rsidP="000D715C">
            <w:pPr>
              <w:spacing w:after="180"/>
              <w:jc w:val="both"/>
              <w:rPr>
                <w:rFonts w:ascii="Times New Roman" w:eastAsia="Times New Roman" w:hAnsi="Times New Roman" w:cs="Times New Roman"/>
                <w:i/>
                <w:sz w:val="24"/>
              </w:rPr>
            </w:pPr>
            <w:r w:rsidRPr="000D715C">
              <w:rPr>
                <w:rFonts w:ascii="Times New Roman" w:hAnsi="Times New Roman"/>
                <w:i/>
                <w:sz w:val="24"/>
              </w:rPr>
              <w:t>Selezionare dal menu: [Pienamente discrezionale] [Parzialmente discrezionale] [Obbligatorio]</w:t>
            </w:r>
          </w:p>
          <w:p w14:paraId="437D6930" w14:textId="51CE3FB9" w:rsidR="00C85971" w:rsidRPr="000D715C" w:rsidRDefault="00C85971" w:rsidP="000D715C">
            <w:pPr>
              <w:spacing w:after="180"/>
              <w:jc w:val="both"/>
              <w:rPr>
                <w:rFonts w:ascii="Times New Roman" w:eastAsia="Times New Roman" w:hAnsi="Times New Roman" w:cs="Times New Roman"/>
                <w:sz w:val="24"/>
              </w:rPr>
            </w:pPr>
            <w:r w:rsidRPr="000D715C">
              <w:rPr>
                <w:rFonts w:ascii="Times New Roman" w:hAnsi="Times New Roman"/>
                <w:i/>
                <w:sz w:val="24"/>
              </w:rPr>
              <w:t>Testo libero (specificare i motivi di discrezionalità, l</w:t>
            </w:r>
            <w:r w:rsidR="005424B9" w:rsidRPr="000D715C">
              <w:rPr>
                <w:rFonts w:ascii="Times New Roman" w:hAnsi="Times New Roman"/>
                <w:i/>
                <w:sz w:val="24"/>
              </w:rPr>
              <w:t>'</w:t>
            </w:r>
            <w:r w:rsidRPr="000D715C">
              <w:rPr>
                <w:rFonts w:ascii="Times New Roman" w:hAnsi="Times New Roman"/>
                <w:i/>
                <w:sz w:val="24"/>
              </w:rPr>
              <w:t xml:space="preserve">esistenza di </w:t>
            </w:r>
            <w:r w:rsidR="005424B9" w:rsidRPr="000D715C">
              <w:rPr>
                <w:rFonts w:ascii="Times New Roman" w:hAnsi="Times New Roman"/>
                <w:i/>
                <w:sz w:val="24"/>
              </w:rPr>
              <w:t>"</w:t>
            </w:r>
            <w:r w:rsidRPr="000D715C">
              <w:rPr>
                <w:rFonts w:ascii="Times New Roman" w:hAnsi="Times New Roman"/>
                <w:i/>
                <w:sz w:val="24"/>
              </w:rPr>
              <w:t>dividend pusher</w:t>
            </w:r>
            <w:r w:rsidR="005424B9" w:rsidRPr="000D715C">
              <w:rPr>
                <w:rFonts w:ascii="Times New Roman" w:hAnsi="Times New Roman"/>
                <w:i/>
                <w:sz w:val="24"/>
              </w:rPr>
              <w:t>"</w:t>
            </w:r>
            <w:r w:rsidRPr="000D715C">
              <w:rPr>
                <w:rFonts w:ascii="Times New Roman" w:hAnsi="Times New Roman"/>
                <w:i/>
                <w:sz w:val="24"/>
              </w:rPr>
              <w:t xml:space="preserve">, di </w:t>
            </w:r>
            <w:r w:rsidR="005424B9" w:rsidRPr="000D715C">
              <w:rPr>
                <w:rFonts w:ascii="Times New Roman" w:hAnsi="Times New Roman"/>
                <w:i/>
                <w:sz w:val="24"/>
              </w:rPr>
              <w:t>"</w:t>
            </w:r>
            <w:r w:rsidRPr="000D715C">
              <w:rPr>
                <w:rFonts w:ascii="Times New Roman" w:hAnsi="Times New Roman"/>
                <w:i/>
                <w:sz w:val="24"/>
              </w:rPr>
              <w:t>dividend stopper</w:t>
            </w:r>
            <w:r w:rsidR="005424B9" w:rsidRPr="000D715C">
              <w:rPr>
                <w:rFonts w:ascii="Times New Roman" w:hAnsi="Times New Roman"/>
                <w:i/>
                <w:sz w:val="24"/>
              </w:rPr>
              <w:t>"</w:t>
            </w:r>
            <w:r w:rsidRPr="000D715C">
              <w:rPr>
                <w:rFonts w:ascii="Times New Roman" w:hAnsi="Times New Roman"/>
                <w:i/>
                <w:sz w:val="24"/>
              </w:rPr>
              <w:t xml:space="preserve"> e di ACSM)</w:t>
            </w:r>
          </w:p>
        </w:tc>
      </w:tr>
      <w:tr w:rsidR="00C85971" w:rsidRPr="000D715C" w14:paraId="10D953A2" w14:textId="77777777" w:rsidTr="00D819DE">
        <w:trPr>
          <w:trHeight w:val="259"/>
        </w:trPr>
        <w:tc>
          <w:tcPr>
            <w:tcW w:w="1030" w:type="dxa"/>
            <w:vAlign w:val="center"/>
          </w:tcPr>
          <w:p w14:paraId="5548CD9D" w14:textId="77777777" w:rsidR="00C85971" w:rsidRPr="000D715C" w:rsidRDefault="00C85971" w:rsidP="00B72562">
            <w:pPr>
              <w:keepNext/>
              <w:keepLines/>
              <w:spacing w:after="200" w:line="276" w:lineRule="auto"/>
              <w:rPr>
                <w:rFonts w:ascii="Times New Roman" w:eastAsia="Times New Roman" w:hAnsi="Times New Roman" w:cs="Times New Roman"/>
                <w:sz w:val="24"/>
              </w:rPr>
            </w:pPr>
            <w:r w:rsidRPr="000D715C">
              <w:rPr>
                <w:rFonts w:ascii="Times New Roman" w:hAnsi="Times New Roman"/>
                <w:sz w:val="24"/>
              </w:rPr>
              <w:lastRenderedPageBreak/>
              <w:t>EU-20b</w:t>
            </w:r>
          </w:p>
        </w:tc>
        <w:tc>
          <w:tcPr>
            <w:tcW w:w="7661" w:type="dxa"/>
            <w:shd w:val="clear" w:color="auto" w:fill="auto"/>
            <w:noWrap/>
            <w:vAlign w:val="bottom"/>
          </w:tcPr>
          <w:p w14:paraId="6504D082" w14:textId="77777777" w:rsidR="00C85971" w:rsidRPr="000D715C" w:rsidRDefault="00C85971" w:rsidP="00B72562">
            <w:pPr>
              <w:keepNext/>
              <w:keepLines/>
              <w:spacing w:after="200"/>
              <w:jc w:val="both"/>
              <w:rPr>
                <w:rFonts w:ascii="Times New Roman" w:eastAsia="Times New Roman" w:hAnsi="Times New Roman" w:cs="Times New Roman"/>
                <w:sz w:val="24"/>
              </w:rPr>
            </w:pPr>
            <w:r w:rsidRPr="000D715C">
              <w:rPr>
                <w:rFonts w:ascii="Times New Roman" w:hAnsi="Times New Roman"/>
                <w:sz w:val="24"/>
              </w:rPr>
              <w:t xml:space="preserve">Pienamente discrezionale, parzialmente discrezionale o obbligatorio (in termini di importo) </w:t>
            </w:r>
          </w:p>
          <w:p w14:paraId="04BFE837" w14:textId="6F0BA1FD" w:rsidR="00C85971" w:rsidRPr="000D715C" w:rsidRDefault="00C85971" w:rsidP="00B72562">
            <w:pPr>
              <w:keepNext/>
              <w:keepLines/>
              <w:spacing w:after="200"/>
              <w:jc w:val="both"/>
              <w:rPr>
                <w:rFonts w:ascii="Times New Roman" w:eastAsia="Times New Roman" w:hAnsi="Times New Roman" w:cs="Times New Roman"/>
                <w:sz w:val="24"/>
              </w:rPr>
            </w:pPr>
            <w:r w:rsidRPr="000D715C">
              <w:rPr>
                <w:rFonts w:ascii="Times New Roman" w:hAnsi="Times New Roman"/>
                <w:sz w:val="24"/>
              </w:rPr>
              <w:t>Gli enti specificano se l</w:t>
            </w:r>
            <w:r w:rsidR="005424B9" w:rsidRPr="000D715C">
              <w:rPr>
                <w:rFonts w:ascii="Times New Roman" w:hAnsi="Times New Roman"/>
                <w:sz w:val="24"/>
              </w:rPr>
              <w:t>'</w:t>
            </w:r>
            <w:r w:rsidRPr="000D715C">
              <w:rPr>
                <w:rFonts w:ascii="Times New Roman" w:hAnsi="Times New Roman"/>
                <w:sz w:val="24"/>
              </w:rPr>
              <w:t>emittente gode di discrezionalità piena, parziale o nulla sull</w:t>
            </w:r>
            <w:r w:rsidR="005424B9" w:rsidRPr="000D715C">
              <w:rPr>
                <w:rFonts w:ascii="Times New Roman" w:hAnsi="Times New Roman"/>
                <w:sz w:val="24"/>
              </w:rPr>
              <w:t>'</w:t>
            </w:r>
            <w:r w:rsidRPr="000D715C">
              <w:rPr>
                <w:rFonts w:ascii="Times New Roman" w:hAnsi="Times New Roman"/>
                <w:sz w:val="24"/>
              </w:rPr>
              <w:t>importo della cedola/del dividendo.</w:t>
            </w:r>
          </w:p>
          <w:p w14:paraId="513C496A" w14:textId="77777777" w:rsidR="00C85971" w:rsidRPr="000D715C" w:rsidRDefault="00C85971" w:rsidP="00B72562">
            <w:pPr>
              <w:keepNext/>
              <w:keepLines/>
              <w:spacing w:after="200"/>
              <w:jc w:val="both"/>
              <w:rPr>
                <w:rFonts w:ascii="Times New Roman" w:eastAsia="Times New Roman" w:hAnsi="Times New Roman" w:cs="Times New Roman"/>
                <w:i/>
                <w:sz w:val="24"/>
              </w:rPr>
            </w:pPr>
            <w:r w:rsidRPr="000D715C">
              <w:rPr>
                <w:rFonts w:ascii="Times New Roman" w:hAnsi="Times New Roman"/>
                <w:i/>
                <w:sz w:val="24"/>
              </w:rPr>
              <w:t>Selezionare dal menu: [Pienamente discrezionale] [Parzialmente discrezionale] [Obbligatorio]</w:t>
            </w:r>
          </w:p>
        </w:tc>
      </w:tr>
      <w:tr w:rsidR="00C85971" w:rsidRPr="000D715C" w14:paraId="75B6FF75" w14:textId="77777777" w:rsidTr="00D819DE">
        <w:trPr>
          <w:trHeight w:val="259"/>
        </w:trPr>
        <w:tc>
          <w:tcPr>
            <w:tcW w:w="1030" w:type="dxa"/>
            <w:vAlign w:val="center"/>
          </w:tcPr>
          <w:p w14:paraId="7C6A2572" w14:textId="77777777" w:rsidR="00C85971" w:rsidRPr="000D715C" w:rsidRDefault="00C85971" w:rsidP="00D819DE">
            <w:pPr>
              <w:spacing w:after="200" w:line="276" w:lineRule="auto"/>
              <w:rPr>
                <w:rFonts w:ascii="Times New Roman" w:eastAsia="Times New Roman" w:hAnsi="Times New Roman" w:cs="Times New Roman"/>
                <w:sz w:val="24"/>
              </w:rPr>
            </w:pPr>
            <w:r w:rsidRPr="000D715C">
              <w:rPr>
                <w:rFonts w:ascii="Times New Roman" w:hAnsi="Times New Roman"/>
                <w:sz w:val="24"/>
              </w:rPr>
              <w:t>21</w:t>
            </w:r>
          </w:p>
        </w:tc>
        <w:tc>
          <w:tcPr>
            <w:tcW w:w="7661" w:type="dxa"/>
            <w:shd w:val="clear" w:color="auto" w:fill="auto"/>
            <w:noWrap/>
            <w:vAlign w:val="bottom"/>
          </w:tcPr>
          <w:p w14:paraId="0F2B7E14" w14:textId="0A0D91E1"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 xml:space="preserve">Presenza di </w:t>
            </w:r>
            <w:r w:rsidR="005424B9" w:rsidRPr="000D715C">
              <w:rPr>
                <w:rFonts w:ascii="Times New Roman" w:hAnsi="Times New Roman"/>
                <w:sz w:val="24"/>
              </w:rPr>
              <w:t>"</w:t>
            </w:r>
            <w:r w:rsidRPr="000D715C">
              <w:rPr>
                <w:rFonts w:ascii="Times New Roman" w:hAnsi="Times New Roman"/>
                <w:sz w:val="24"/>
              </w:rPr>
              <w:t>step up</w:t>
            </w:r>
            <w:r w:rsidR="005424B9" w:rsidRPr="000D715C">
              <w:rPr>
                <w:rFonts w:ascii="Times New Roman" w:hAnsi="Times New Roman"/>
                <w:sz w:val="24"/>
              </w:rPr>
              <w:t>"</w:t>
            </w:r>
            <w:r w:rsidRPr="000D715C">
              <w:rPr>
                <w:rFonts w:ascii="Times New Roman" w:hAnsi="Times New Roman"/>
                <w:sz w:val="24"/>
              </w:rPr>
              <w:t xml:space="preserve"> o di altro incentivo al rimborso</w:t>
            </w:r>
          </w:p>
          <w:p w14:paraId="12907BE4" w14:textId="0EF9EF48"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Gli enti specificano l</w:t>
            </w:r>
            <w:r w:rsidR="005424B9" w:rsidRPr="000D715C">
              <w:rPr>
                <w:rFonts w:ascii="Times New Roman" w:hAnsi="Times New Roman"/>
                <w:sz w:val="24"/>
              </w:rPr>
              <w:t>'</w:t>
            </w:r>
            <w:r w:rsidRPr="000D715C">
              <w:rPr>
                <w:rFonts w:ascii="Times New Roman" w:hAnsi="Times New Roman"/>
                <w:sz w:val="24"/>
              </w:rPr>
              <w:t xml:space="preserve">esistenza di una clausola di </w:t>
            </w:r>
            <w:r w:rsidR="005424B9" w:rsidRPr="000D715C">
              <w:rPr>
                <w:rFonts w:ascii="Times New Roman" w:hAnsi="Times New Roman"/>
                <w:sz w:val="24"/>
              </w:rPr>
              <w:t>"</w:t>
            </w:r>
            <w:r w:rsidRPr="000D715C">
              <w:rPr>
                <w:rFonts w:ascii="Times New Roman" w:hAnsi="Times New Roman"/>
                <w:sz w:val="24"/>
              </w:rPr>
              <w:t>step up</w:t>
            </w:r>
            <w:r w:rsidR="005424B9" w:rsidRPr="000D715C">
              <w:rPr>
                <w:rFonts w:ascii="Times New Roman" w:hAnsi="Times New Roman"/>
                <w:sz w:val="24"/>
              </w:rPr>
              <w:t>"</w:t>
            </w:r>
            <w:r w:rsidRPr="000D715C">
              <w:rPr>
                <w:rFonts w:ascii="Times New Roman" w:hAnsi="Times New Roman"/>
                <w:sz w:val="24"/>
              </w:rPr>
              <w:t xml:space="preserve"> o altro incentivo al rimborso.</w:t>
            </w:r>
          </w:p>
          <w:p w14:paraId="4BED9D43" w14:textId="77777777" w:rsidR="00C85971" w:rsidRPr="000D715C" w:rsidRDefault="00C85971" w:rsidP="00D819DE">
            <w:pPr>
              <w:spacing w:after="200"/>
              <w:jc w:val="both"/>
              <w:rPr>
                <w:rFonts w:ascii="Times New Roman" w:eastAsia="Times New Roman" w:hAnsi="Times New Roman" w:cs="Times New Roman"/>
                <w:i/>
                <w:sz w:val="24"/>
              </w:rPr>
            </w:pPr>
            <w:r w:rsidRPr="000D715C">
              <w:rPr>
                <w:rFonts w:ascii="Times New Roman" w:hAnsi="Times New Roman"/>
                <w:i/>
                <w:sz w:val="24"/>
              </w:rPr>
              <w:t>Selezionare dal menu: [SÌ] [NO]</w:t>
            </w:r>
          </w:p>
        </w:tc>
      </w:tr>
      <w:tr w:rsidR="00C85971" w:rsidRPr="000D715C" w14:paraId="1937B62C" w14:textId="77777777" w:rsidTr="00D819DE">
        <w:trPr>
          <w:trHeight w:val="259"/>
        </w:trPr>
        <w:tc>
          <w:tcPr>
            <w:tcW w:w="1030" w:type="dxa"/>
            <w:vAlign w:val="center"/>
          </w:tcPr>
          <w:p w14:paraId="08732FD5" w14:textId="77777777" w:rsidR="00C85971" w:rsidRPr="000D715C" w:rsidRDefault="00C85971" w:rsidP="00D819DE">
            <w:pPr>
              <w:spacing w:after="200" w:line="276" w:lineRule="auto"/>
              <w:rPr>
                <w:rFonts w:ascii="Times New Roman" w:eastAsia="Times New Roman" w:hAnsi="Times New Roman" w:cs="Times New Roman"/>
                <w:sz w:val="24"/>
              </w:rPr>
            </w:pPr>
            <w:r w:rsidRPr="000D715C">
              <w:rPr>
                <w:rFonts w:ascii="Times New Roman" w:hAnsi="Times New Roman"/>
                <w:sz w:val="24"/>
              </w:rPr>
              <w:t>22</w:t>
            </w:r>
          </w:p>
        </w:tc>
        <w:tc>
          <w:tcPr>
            <w:tcW w:w="7661" w:type="dxa"/>
            <w:shd w:val="clear" w:color="auto" w:fill="auto"/>
            <w:noWrap/>
            <w:vAlign w:val="bottom"/>
          </w:tcPr>
          <w:p w14:paraId="45FEA976" w14:textId="77777777"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Non cumulativo o cumulativo</w:t>
            </w:r>
          </w:p>
          <w:p w14:paraId="55B7FEB7" w14:textId="77777777"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Gli enti specificano se i dividendi/le cedole sono cumulativi o non cumulativi.</w:t>
            </w:r>
          </w:p>
          <w:p w14:paraId="0EB38D12" w14:textId="77777777" w:rsidR="00C85971" w:rsidRPr="000D715C" w:rsidRDefault="00C85971" w:rsidP="00D819DE">
            <w:pPr>
              <w:spacing w:after="200"/>
              <w:jc w:val="both"/>
              <w:rPr>
                <w:rFonts w:ascii="Times New Roman" w:eastAsia="Times New Roman" w:hAnsi="Times New Roman" w:cs="Times New Roman"/>
                <w:i/>
                <w:sz w:val="24"/>
              </w:rPr>
            </w:pPr>
            <w:r w:rsidRPr="000D715C">
              <w:rPr>
                <w:rFonts w:ascii="Times New Roman" w:hAnsi="Times New Roman"/>
                <w:i/>
                <w:sz w:val="24"/>
              </w:rPr>
              <w:t>Selezionare dal menu: [Non cumulativo] [Cumulativo] [ACSM]</w:t>
            </w:r>
          </w:p>
        </w:tc>
      </w:tr>
      <w:tr w:rsidR="00C85971" w:rsidRPr="000D715C" w14:paraId="0AC7DDCD" w14:textId="77777777" w:rsidTr="00D819DE">
        <w:trPr>
          <w:trHeight w:val="259"/>
        </w:trPr>
        <w:tc>
          <w:tcPr>
            <w:tcW w:w="1030" w:type="dxa"/>
            <w:vAlign w:val="center"/>
          </w:tcPr>
          <w:p w14:paraId="0954662B" w14:textId="77777777" w:rsidR="00C85971" w:rsidRPr="000D715C" w:rsidRDefault="00C85971" w:rsidP="00D819DE">
            <w:pPr>
              <w:spacing w:after="200" w:line="276" w:lineRule="auto"/>
              <w:rPr>
                <w:rFonts w:ascii="Times New Roman" w:eastAsia="Times New Roman" w:hAnsi="Times New Roman" w:cs="Times New Roman"/>
                <w:sz w:val="24"/>
              </w:rPr>
            </w:pPr>
            <w:r w:rsidRPr="000D715C">
              <w:rPr>
                <w:rFonts w:ascii="Times New Roman" w:hAnsi="Times New Roman"/>
                <w:sz w:val="24"/>
              </w:rPr>
              <w:t>23</w:t>
            </w:r>
          </w:p>
        </w:tc>
        <w:tc>
          <w:tcPr>
            <w:tcW w:w="7661" w:type="dxa"/>
            <w:shd w:val="clear" w:color="auto" w:fill="auto"/>
            <w:noWrap/>
            <w:vAlign w:val="bottom"/>
          </w:tcPr>
          <w:p w14:paraId="05E02B3C" w14:textId="77777777"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Convertibile o non convertibile</w:t>
            </w:r>
          </w:p>
          <w:p w14:paraId="03E74556" w14:textId="77777777"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Gli enti specificano se lo strumento è convertibile o meno.</w:t>
            </w:r>
          </w:p>
          <w:p w14:paraId="5A5BB1FB" w14:textId="77777777" w:rsidR="00C85971" w:rsidRPr="000D715C" w:rsidRDefault="00C85971" w:rsidP="00D819DE">
            <w:pPr>
              <w:spacing w:after="200"/>
              <w:jc w:val="both"/>
              <w:rPr>
                <w:rFonts w:ascii="Times New Roman" w:eastAsia="Times New Roman" w:hAnsi="Times New Roman" w:cs="Times New Roman"/>
                <w:i/>
                <w:sz w:val="24"/>
              </w:rPr>
            </w:pPr>
            <w:r w:rsidRPr="000D715C">
              <w:rPr>
                <w:rFonts w:ascii="Times New Roman" w:hAnsi="Times New Roman"/>
                <w:i/>
                <w:sz w:val="24"/>
              </w:rPr>
              <w:t>Selezionare dal menu: [Convertibile] [Non convertibile]</w:t>
            </w:r>
          </w:p>
        </w:tc>
      </w:tr>
      <w:tr w:rsidR="00C85971" w:rsidRPr="000D715C" w14:paraId="17BEBE61" w14:textId="77777777" w:rsidTr="00D819DE">
        <w:trPr>
          <w:trHeight w:val="259"/>
        </w:trPr>
        <w:tc>
          <w:tcPr>
            <w:tcW w:w="1030" w:type="dxa"/>
            <w:vAlign w:val="center"/>
          </w:tcPr>
          <w:p w14:paraId="3094BF5D" w14:textId="77777777" w:rsidR="00C85971" w:rsidRPr="000D715C" w:rsidRDefault="00C85971" w:rsidP="00D819DE">
            <w:pPr>
              <w:spacing w:after="200" w:line="276" w:lineRule="auto"/>
              <w:rPr>
                <w:rFonts w:ascii="Times New Roman" w:eastAsia="Times New Roman" w:hAnsi="Times New Roman" w:cs="Times New Roman"/>
                <w:sz w:val="24"/>
              </w:rPr>
            </w:pPr>
            <w:r w:rsidRPr="000D715C">
              <w:rPr>
                <w:rFonts w:ascii="Times New Roman" w:hAnsi="Times New Roman"/>
                <w:sz w:val="24"/>
              </w:rPr>
              <w:t>24</w:t>
            </w:r>
          </w:p>
        </w:tc>
        <w:tc>
          <w:tcPr>
            <w:tcW w:w="7661" w:type="dxa"/>
            <w:shd w:val="clear" w:color="auto" w:fill="auto"/>
            <w:noWrap/>
            <w:vAlign w:val="bottom"/>
          </w:tcPr>
          <w:p w14:paraId="557E2DF9" w14:textId="77777777"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Se convertibile, eventi che determinano la conversione</w:t>
            </w:r>
          </w:p>
          <w:p w14:paraId="64B68578" w14:textId="7BD8D35A"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Gli enti specificano le condizioni alle quali lo strumento potrà essere convertito, compreso il momento in cui l</w:t>
            </w:r>
            <w:r w:rsidR="005424B9" w:rsidRPr="000D715C">
              <w:rPr>
                <w:rFonts w:ascii="Times New Roman" w:hAnsi="Times New Roman"/>
                <w:sz w:val="24"/>
              </w:rPr>
              <w:t>'</w:t>
            </w:r>
            <w:r w:rsidRPr="000D715C">
              <w:rPr>
                <w:rFonts w:ascii="Times New Roman" w:hAnsi="Times New Roman"/>
                <w:sz w:val="24"/>
              </w:rPr>
              <w:t>ente non è redditizio. Nel caso in cui la conversione possa essere attivata da una o più autorità, elencare le autorità in questione. Per ogni autorità, è indicato se la base giuridica che permette all</w:t>
            </w:r>
            <w:r w:rsidR="005424B9" w:rsidRPr="000D715C">
              <w:rPr>
                <w:rFonts w:ascii="Times New Roman" w:hAnsi="Times New Roman"/>
                <w:sz w:val="24"/>
              </w:rPr>
              <w:t>'</w:t>
            </w:r>
            <w:r w:rsidRPr="000D715C">
              <w:rPr>
                <w:rFonts w:ascii="Times New Roman" w:hAnsi="Times New Roman"/>
                <w:sz w:val="24"/>
              </w:rPr>
              <w:t>autorità di attivare la conversione è prevista dalle clausole del contratto relativo allo strumento (approccio contrattuale) o dalla normativa (approccio normativo).</w:t>
            </w:r>
          </w:p>
          <w:p w14:paraId="492B2888" w14:textId="77777777" w:rsidR="00C85971" w:rsidRPr="000D715C" w:rsidRDefault="00C85971" w:rsidP="00D819DE">
            <w:pPr>
              <w:spacing w:after="200"/>
              <w:jc w:val="both"/>
              <w:rPr>
                <w:rFonts w:ascii="Times New Roman" w:eastAsia="Times New Roman" w:hAnsi="Times New Roman" w:cs="Times New Roman"/>
                <w:i/>
                <w:sz w:val="24"/>
              </w:rPr>
            </w:pPr>
            <w:r w:rsidRPr="000D715C">
              <w:rPr>
                <w:rFonts w:ascii="Times New Roman" w:hAnsi="Times New Roman"/>
                <w:i/>
                <w:sz w:val="24"/>
              </w:rPr>
              <w:t>Testo libero</w:t>
            </w:r>
          </w:p>
        </w:tc>
      </w:tr>
      <w:tr w:rsidR="00C85971" w:rsidRPr="000D715C" w14:paraId="4233FD69" w14:textId="77777777" w:rsidTr="00D819DE">
        <w:trPr>
          <w:trHeight w:val="259"/>
        </w:trPr>
        <w:tc>
          <w:tcPr>
            <w:tcW w:w="1030" w:type="dxa"/>
            <w:vAlign w:val="center"/>
          </w:tcPr>
          <w:p w14:paraId="0B9A41F8" w14:textId="77777777" w:rsidR="00C85971" w:rsidRPr="000D715C" w:rsidRDefault="00C85971" w:rsidP="00D819DE">
            <w:pPr>
              <w:spacing w:after="200" w:line="276" w:lineRule="auto"/>
              <w:rPr>
                <w:rFonts w:ascii="Times New Roman" w:eastAsia="Times New Roman" w:hAnsi="Times New Roman" w:cs="Times New Roman"/>
                <w:sz w:val="24"/>
              </w:rPr>
            </w:pPr>
            <w:r w:rsidRPr="000D715C">
              <w:rPr>
                <w:rFonts w:ascii="Times New Roman" w:hAnsi="Times New Roman"/>
                <w:sz w:val="24"/>
              </w:rPr>
              <w:t>25</w:t>
            </w:r>
          </w:p>
        </w:tc>
        <w:tc>
          <w:tcPr>
            <w:tcW w:w="7661" w:type="dxa"/>
            <w:shd w:val="clear" w:color="auto" w:fill="auto"/>
            <w:noWrap/>
            <w:vAlign w:val="bottom"/>
          </w:tcPr>
          <w:p w14:paraId="37E17972" w14:textId="77777777"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Se convertibile, integralmente o parzialmente</w:t>
            </w:r>
          </w:p>
          <w:p w14:paraId="5FFCE6A6" w14:textId="77777777"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Gli enti specificano se lo strumento sarà sempre convertito integralmente, potrà essere convertito integralmente o parzialmente, o sarà sempre convertito parzialmente.</w:t>
            </w:r>
          </w:p>
          <w:p w14:paraId="04295F27" w14:textId="77777777" w:rsidR="00C85971" w:rsidRPr="000D715C" w:rsidRDefault="00C85971" w:rsidP="00D819DE">
            <w:pPr>
              <w:spacing w:after="200"/>
              <w:jc w:val="both"/>
              <w:rPr>
                <w:rFonts w:ascii="Times New Roman" w:eastAsia="Times New Roman" w:hAnsi="Times New Roman" w:cs="Times New Roman"/>
                <w:i/>
                <w:sz w:val="24"/>
              </w:rPr>
            </w:pPr>
            <w:r w:rsidRPr="000D715C">
              <w:rPr>
                <w:rFonts w:ascii="Times New Roman" w:hAnsi="Times New Roman"/>
                <w:i/>
                <w:sz w:val="24"/>
              </w:rPr>
              <w:t>Selezionare dal menu: [Sempre integralmente] [Integralmente o parzialmente] [Sempre parzialmente]</w:t>
            </w:r>
          </w:p>
        </w:tc>
      </w:tr>
      <w:tr w:rsidR="00C85971" w:rsidRPr="000D715C" w14:paraId="2F949347" w14:textId="77777777" w:rsidTr="00D819DE">
        <w:trPr>
          <w:trHeight w:val="259"/>
        </w:trPr>
        <w:tc>
          <w:tcPr>
            <w:tcW w:w="1030" w:type="dxa"/>
            <w:vAlign w:val="center"/>
          </w:tcPr>
          <w:p w14:paraId="5F8D7F5B" w14:textId="77777777" w:rsidR="00C85971" w:rsidRPr="000D715C" w:rsidRDefault="00C85971" w:rsidP="00B72562">
            <w:pPr>
              <w:keepNext/>
              <w:keepLines/>
              <w:spacing w:after="160" w:line="276" w:lineRule="auto"/>
              <w:rPr>
                <w:rFonts w:ascii="Times New Roman" w:eastAsia="Times New Roman" w:hAnsi="Times New Roman" w:cs="Times New Roman"/>
                <w:sz w:val="24"/>
              </w:rPr>
            </w:pPr>
            <w:r w:rsidRPr="000D715C">
              <w:rPr>
                <w:rFonts w:ascii="Times New Roman" w:hAnsi="Times New Roman"/>
                <w:sz w:val="24"/>
              </w:rPr>
              <w:lastRenderedPageBreak/>
              <w:t>26</w:t>
            </w:r>
          </w:p>
        </w:tc>
        <w:tc>
          <w:tcPr>
            <w:tcW w:w="7661" w:type="dxa"/>
            <w:shd w:val="clear" w:color="auto" w:fill="auto"/>
            <w:noWrap/>
            <w:vAlign w:val="bottom"/>
          </w:tcPr>
          <w:p w14:paraId="525BBA92" w14:textId="77777777" w:rsidR="00C85971" w:rsidRPr="000D715C" w:rsidRDefault="00C85971" w:rsidP="00B72562">
            <w:pPr>
              <w:keepNext/>
              <w:keepLines/>
              <w:spacing w:after="160"/>
              <w:jc w:val="both"/>
              <w:rPr>
                <w:rFonts w:ascii="Times New Roman" w:eastAsia="Times New Roman" w:hAnsi="Times New Roman" w:cs="Times New Roman"/>
                <w:sz w:val="24"/>
              </w:rPr>
            </w:pPr>
            <w:r w:rsidRPr="000D715C">
              <w:rPr>
                <w:rFonts w:ascii="Times New Roman" w:hAnsi="Times New Roman"/>
                <w:sz w:val="24"/>
              </w:rPr>
              <w:t>Se convertibile, tasso di conversione</w:t>
            </w:r>
          </w:p>
          <w:p w14:paraId="24115E30" w14:textId="77777777" w:rsidR="00C85971" w:rsidRPr="000D715C" w:rsidRDefault="00C85971" w:rsidP="00B72562">
            <w:pPr>
              <w:keepNext/>
              <w:keepLines/>
              <w:spacing w:after="160"/>
              <w:jc w:val="both"/>
              <w:rPr>
                <w:rFonts w:ascii="Times New Roman" w:eastAsia="Times New Roman" w:hAnsi="Times New Roman" w:cs="Times New Roman"/>
                <w:sz w:val="24"/>
              </w:rPr>
            </w:pPr>
            <w:r w:rsidRPr="000D715C">
              <w:rPr>
                <w:rFonts w:ascii="Times New Roman" w:hAnsi="Times New Roman"/>
                <w:sz w:val="24"/>
              </w:rPr>
              <w:t xml:space="preserve">Gli enti specificano il tasso di conversione nello strumento avente maggiore capacità di assorbimento delle perdite. </w:t>
            </w:r>
          </w:p>
          <w:p w14:paraId="49572789" w14:textId="77777777" w:rsidR="00C85971" w:rsidRPr="000D715C" w:rsidRDefault="00C85971" w:rsidP="00B72562">
            <w:pPr>
              <w:keepNext/>
              <w:keepLines/>
              <w:spacing w:after="160"/>
              <w:jc w:val="both"/>
              <w:rPr>
                <w:rFonts w:ascii="Times New Roman" w:eastAsia="Times New Roman" w:hAnsi="Times New Roman" w:cs="Times New Roman"/>
                <w:i/>
                <w:sz w:val="24"/>
              </w:rPr>
            </w:pPr>
            <w:r w:rsidRPr="000D715C">
              <w:rPr>
                <w:rFonts w:ascii="Times New Roman" w:hAnsi="Times New Roman"/>
                <w:i/>
                <w:sz w:val="24"/>
              </w:rPr>
              <w:t>Testo libero</w:t>
            </w:r>
          </w:p>
        </w:tc>
      </w:tr>
      <w:tr w:rsidR="00C85971" w:rsidRPr="000D715C" w14:paraId="3746C7E2" w14:textId="77777777" w:rsidTr="00D819DE">
        <w:trPr>
          <w:trHeight w:val="259"/>
        </w:trPr>
        <w:tc>
          <w:tcPr>
            <w:tcW w:w="1030" w:type="dxa"/>
            <w:vAlign w:val="center"/>
          </w:tcPr>
          <w:p w14:paraId="71E2E2D5" w14:textId="77777777" w:rsidR="00C85971" w:rsidRPr="000D715C" w:rsidRDefault="00C85971" w:rsidP="00B72562">
            <w:pPr>
              <w:spacing w:after="160" w:line="276" w:lineRule="auto"/>
              <w:rPr>
                <w:rFonts w:ascii="Times New Roman" w:eastAsia="Times New Roman" w:hAnsi="Times New Roman" w:cs="Times New Roman"/>
                <w:sz w:val="24"/>
              </w:rPr>
            </w:pPr>
            <w:r w:rsidRPr="000D715C">
              <w:rPr>
                <w:rFonts w:ascii="Times New Roman" w:hAnsi="Times New Roman"/>
                <w:sz w:val="24"/>
              </w:rPr>
              <w:t>27</w:t>
            </w:r>
          </w:p>
        </w:tc>
        <w:tc>
          <w:tcPr>
            <w:tcW w:w="7661" w:type="dxa"/>
            <w:shd w:val="clear" w:color="auto" w:fill="auto"/>
            <w:noWrap/>
            <w:vAlign w:val="bottom"/>
          </w:tcPr>
          <w:p w14:paraId="2824EFA1" w14:textId="77777777" w:rsidR="00C85971" w:rsidRPr="000D715C" w:rsidRDefault="00C85971" w:rsidP="00B72562">
            <w:pPr>
              <w:spacing w:after="160"/>
              <w:jc w:val="both"/>
              <w:rPr>
                <w:rFonts w:ascii="Times New Roman" w:eastAsia="Times New Roman" w:hAnsi="Times New Roman" w:cs="Times New Roman"/>
                <w:sz w:val="24"/>
              </w:rPr>
            </w:pPr>
            <w:r w:rsidRPr="000D715C">
              <w:rPr>
                <w:rFonts w:ascii="Times New Roman" w:hAnsi="Times New Roman"/>
                <w:sz w:val="24"/>
              </w:rPr>
              <w:t>Se convertibile, conversione obbligatoria o facoltativa</w:t>
            </w:r>
          </w:p>
          <w:p w14:paraId="2C09BCD8" w14:textId="77777777" w:rsidR="00C85971" w:rsidRPr="000D715C" w:rsidRDefault="00C85971" w:rsidP="00B72562">
            <w:pPr>
              <w:spacing w:after="160"/>
              <w:jc w:val="both"/>
              <w:rPr>
                <w:rFonts w:ascii="Times New Roman" w:eastAsia="Times New Roman" w:hAnsi="Times New Roman" w:cs="Times New Roman"/>
                <w:sz w:val="24"/>
              </w:rPr>
            </w:pPr>
            <w:r w:rsidRPr="000D715C">
              <w:rPr>
                <w:rFonts w:ascii="Times New Roman" w:hAnsi="Times New Roman"/>
                <w:sz w:val="24"/>
              </w:rPr>
              <w:t xml:space="preserve">Per gli strumenti convertibili, gli enti specificano se la conversione è obbligatoria o facoltativa. </w:t>
            </w:r>
          </w:p>
          <w:p w14:paraId="0C9E7DA5" w14:textId="1F076E11" w:rsidR="00C85971" w:rsidRPr="000D715C" w:rsidRDefault="00C85971" w:rsidP="00B72562">
            <w:pPr>
              <w:spacing w:after="160"/>
              <w:jc w:val="both"/>
              <w:rPr>
                <w:rFonts w:ascii="Times New Roman" w:eastAsia="Times New Roman" w:hAnsi="Times New Roman" w:cs="Times New Roman"/>
                <w:i/>
                <w:sz w:val="24"/>
              </w:rPr>
            </w:pPr>
            <w:r w:rsidRPr="000D715C">
              <w:rPr>
                <w:rFonts w:ascii="Times New Roman" w:hAnsi="Times New Roman"/>
                <w:i/>
                <w:sz w:val="24"/>
              </w:rPr>
              <w:t>Selezionare dal menu: [Obbligatoria] [Facoltativa] [N/A] e [A scelta del possessore] [A scelta dell</w:t>
            </w:r>
            <w:r w:rsidR="005424B9" w:rsidRPr="000D715C">
              <w:rPr>
                <w:rFonts w:ascii="Times New Roman" w:hAnsi="Times New Roman"/>
                <w:i/>
                <w:sz w:val="24"/>
              </w:rPr>
              <w:t>'</w:t>
            </w:r>
            <w:r w:rsidRPr="000D715C">
              <w:rPr>
                <w:rFonts w:ascii="Times New Roman" w:hAnsi="Times New Roman"/>
                <w:i/>
                <w:sz w:val="24"/>
              </w:rPr>
              <w:t>emittente] [A scelta di entrambi, possessore ed emittente]</w:t>
            </w:r>
          </w:p>
        </w:tc>
      </w:tr>
      <w:tr w:rsidR="00C85971" w:rsidRPr="000D715C" w14:paraId="19A25638" w14:textId="77777777" w:rsidTr="00D819DE">
        <w:trPr>
          <w:trHeight w:val="259"/>
        </w:trPr>
        <w:tc>
          <w:tcPr>
            <w:tcW w:w="1030" w:type="dxa"/>
            <w:vAlign w:val="center"/>
          </w:tcPr>
          <w:p w14:paraId="316EF1A2" w14:textId="77777777" w:rsidR="00C85971" w:rsidRPr="000D715C" w:rsidRDefault="00C85971" w:rsidP="00B72562">
            <w:pPr>
              <w:spacing w:after="160" w:line="276" w:lineRule="auto"/>
              <w:rPr>
                <w:rFonts w:ascii="Times New Roman" w:eastAsia="Times New Roman" w:hAnsi="Times New Roman" w:cs="Times New Roman"/>
                <w:sz w:val="24"/>
              </w:rPr>
            </w:pPr>
            <w:r w:rsidRPr="000D715C">
              <w:rPr>
                <w:rFonts w:ascii="Times New Roman" w:hAnsi="Times New Roman"/>
                <w:sz w:val="24"/>
              </w:rPr>
              <w:t>28</w:t>
            </w:r>
          </w:p>
        </w:tc>
        <w:tc>
          <w:tcPr>
            <w:tcW w:w="7661" w:type="dxa"/>
            <w:shd w:val="clear" w:color="auto" w:fill="auto"/>
            <w:noWrap/>
            <w:vAlign w:val="bottom"/>
          </w:tcPr>
          <w:p w14:paraId="0838A71A" w14:textId="77777777" w:rsidR="00C85971" w:rsidRPr="000D715C" w:rsidRDefault="00C85971" w:rsidP="00B72562">
            <w:pPr>
              <w:spacing w:after="160"/>
              <w:jc w:val="both"/>
              <w:rPr>
                <w:rFonts w:ascii="Times New Roman" w:eastAsia="Times New Roman" w:hAnsi="Times New Roman" w:cs="Times New Roman"/>
                <w:sz w:val="24"/>
              </w:rPr>
            </w:pPr>
            <w:r w:rsidRPr="000D715C">
              <w:rPr>
                <w:rFonts w:ascii="Times New Roman" w:hAnsi="Times New Roman"/>
                <w:sz w:val="24"/>
              </w:rPr>
              <w:t>Se convertibile, precisare il tipo di strumento nel quale la conversione è possibile</w:t>
            </w:r>
          </w:p>
          <w:p w14:paraId="006F3C5C" w14:textId="77777777" w:rsidR="00C85971" w:rsidRPr="000D715C" w:rsidRDefault="00C85971" w:rsidP="00B72562">
            <w:pPr>
              <w:spacing w:after="160"/>
              <w:jc w:val="both"/>
              <w:rPr>
                <w:rFonts w:ascii="Times New Roman" w:eastAsia="Times New Roman" w:hAnsi="Times New Roman" w:cs="Times New Roman"/>
                <w:sz w:val="24"/>
              </w:rPr>
            </w:pPr>
            <w:r w:rsidRPr="000D715C">
              <w:rPr>
                <w:rFonts w:ascii="Times New Roman" w:hAnsi="Times New Roman"/>
                <w:sz w:val="24"/>
              </w:rPr>
              <w:t>Per gli strumenti convertibili, gli enti specificano il tipo di strumento nel quale la conversione è possibile. Contribuisce a valutare la capacità di assorbimento delle perdite.</w:t>
            </w:r>
          </w:p>
          <w:p w14:paraId="466B3378" w14:textId="77777777" w:rsidR="00C85971" w:rsidRPr="000D715C" w:rsidRDefault="00C85971" w:rsidP="00B72562">
            <w:pPr>
              <w:spacing w:after="160"/>
              <w:jc w:val="both"/>
              <w:rPr>
                <w:rFonts w:ascii="Times New Roman" w:eastAsia="Times New Roman" w:hAnsi="Times New Roman" w:cs="Times New Roman"/>
                <w:i/>
                <w:sz w:val="24"/>
              </w:rPr>
            </w:pPr>
            <w:r w:rsidRPr="000D715C">
              <w:rPr>
                <w:rFonts w:ascii="Times New Roman" w:hAnsi="Times New Roman"/>
                <w:i/>
                <w:sz w:val="24"/>
              </w:rPr>
              <w:t>Selezionare dal menu: [Capitale primario di classe 1] [Capitale aggiuntivo di classe 1] [Capitale di classe 2] [Altro]</w:t>
            </w:r>
          </w:p>
        </w:tc>
      </w:tr>
      <w:tr w:rsidR="00C85971" w:rsidRPr="000D715C" w14:paraId="60E889B7" w14:textId="77777777" w:rsidTr="00D819DE">
        <w:trPr>
          <w:trHeight w:val="259"/>
        </w:trPr>
        <w:tc>
          <w:tcPr>
            <w:tcW w:w="1030" w:type="dxa"/>
            <w:vAlign w:val="center"/>
          </w:tcPr>
          <w:p w14:paraId="03D25633" w14:textId="77777777" w:rsidR="00C85971" w:rsidRPr="000D715C" w:rsidRDefault="00C85971" w:rsidP="00B72562">
            <w:pPr>
              <w:spacing w:after="160" w:line="276" w:lineRule="auto"/>
              <w:rPr>
                <w:rFonts w:ascii="Times New Roman" w:eastAsia="Times New Roman" w:hAnsi="Times New Roman" w:cs="Times New Roman"/>
                <w:sz w:val="24"/>
              </w:rPr>
            </w:pPr>
            <w:r w:rsidRPr="000D715C">
              <w:rPr>
                <w:rFonts w:ascii="Times New Roman" w:hAnsi="Times New Roman"/>
                <w:sz w:val="24"/>
              </w:rPr>
              <w:t>29</w:t>
            </w:r>
          </w:p>
        </w:tc>
        <w:tc>
          <w:tcPr>
            <w:tcW w:w="7661" w:type="dxa"/>
            <w:shd w:val="clear" w:color="auto" w:fill="auto"/>
            <w:noWrap/>
            <w:vAlign w:val="bottom"/>
          </w:tcPr>
          <w:p w14:paraId="37418A51" w14:textId="20DB1966" w:rsidR="00C85971" w:rsidRPr="000D715C" w:rsidRDefault="00C85971" w:rsidP="00B72562">
            <w:pPr>
              <w:spacing w:after="160"/>
              <w:jc w:val="both"/>
              <w:rPr>
                <w:rFonts w:ascii="Times New Roman" w:eastAsia="Times New Roman" w:hAnsi="Times New Roman" w:cs="Times New Roman"/>
                <w:sz w:val="24"/>
              </w:rPr>
            </w:pPr>
            <w:r w:rsidRPr="000D715C">
              <w:rPr>
                <w:rFonts w:ascii="Times New Roman" w:hAnsi="Times New Roman"/>
                <w:sz w:val="24"/>
              </w:rPr>
              <w:t>Se convertibile, precisare l</w:t>
            </w:r>
            <w:r w:rsidR="005424B9" w:rsidRPr="000D715C">
              <w:rPr>
                <w:rFonts w:ascii="Times New Roman" w:hAnsi="Times New Roman"/>
                <w:sz w:val="24"/>
              </w:rPr>
              <w:t>'</w:t>
            </w:r>
            <w:r w:rsidRPr="000D715C">
              <w:rPr>
                <w:rFonts w:ascii="Times New Roman" w:hAnsi="Times New Roman"/>
                <w:sz w:val="24"/>
              </w:rPr>
              <w:t>emittente dello strumento nel quale viene convertito</w:t>
            </w:r>
          </w:p>
          <w:p w14:paraId="68640A35" w14:textId="77777777" w:rsidR="00C85971" w:rsidRPr="000D715C" w:rsidRDefault="00C85971" w:rsidP="00B72562">
            <w:pPr>
              <w:spacing w:after="160"/>
              <w:jc w:val="both"/>
              <w:rPr>
                <w:rFonts w:ascii="Times New Roman" w:eastAsia="Times New Roman" w:hAnsi="Times New Roman" w:cs="Times New Roman"/>
                <w:i/>
                <w:sz w:val="24"/>
              </w:rPr>
            </w:pPr>
            <w:r w:rsidRPr="000D715C">
              <w:rPr>
                <w:rFonts w:ascii="Times New Roman" w:hAnsi="Times New Roman"/>
                <w:i/>
                <w:sz w:val="24"/>
              </w:rPr>
              <w:t>Testo libero</w:t>
            </w:r>
          </w:p>
        </w:tc>
      </w:tr>
      <w:tr w:rsidR="00C85971" w:rsidRPr="000D715C" w14:paraId="0B942A3B" w14:textId="77777777" w:rsidTr="00D819DE">
        <w:trPr>
          <w:trHeight w:val="259"/>
        </w:trPr>
        <w:tc>
          <w:tcPr>
            <w:tcW w:w="1030" w:type="dxa"/>
            <w:vAlign w:val="center"/>
          </w:tcPr>
          <w:p w14:paraId="53F811FD" w14:textId="77777777" w:rsidR="00C85971" w:rsidRPr="000D715C" w:rsidRDefault="00C85971" w:rsidP="00B72562">
            <w:pPr>
              <w:spacing w:after="160" w:line="276" w:lineRule="auto"/>
              <w:rPr>
                <w:rFonts w:ascii="Times New Roman" w:eastAsia="Times New Roman" w:hAnsi="Times New Roman" w:cs="Times New Roman"/>
                <w:sz w:val="24"/>
              </w:rPr>
            </w:pPr>
            <w:r w:rsidRPr="000D715C">
              <w:rPr>
                <w:rFonts w:ascii="Times New Roman" w:hAnsi="Times New Roman"/>
                <w:sz w:val="24"/>
              </w:rPr>
              <w:t>30</w:t>
            </w:r>
          </w:p>
        </w:tc>
        <w:tc>
          <w:tcPr>
            <w:tcW w:w="7661" w:type="dxa"/>
            <w:shd w:val="clear" w:color="auto" w:fill="auto"/>
            <w:noWrap/>
            <w:vAlign w:val="bottom"/>
          </w:tcPr>
          <w:p w14:paraId="6ED6EEF3" w14:textId="77777777" w:rsidR="00C85971" w:rsidRPr="000D715C" w:rsidRDefault="00C85971" w:rsidP="00B72562">
            <w:pPr>
              <w:spacing w:after="160"/>
              <w:jc w:val="both"/>
              <w:rPr>
                <w:rFonts w:ascii="Times New Roman" w:eastAsia="Times New Roman" w:hAnsi="Times New Roman" w:cs="Times New Roman"/>
                <w:sz w:val="24"/>
              </w:rPr>
            </w:pPr>
            <w:r w:rsidRPr="000D715C">
              <w:rPr>
                <w:rFonts w:ascii="Times New Roman" w:hAnsi="Times New Roman"/>
                <w:sz w:val="24"/>
              </w:rPr>
              <w:t>Meccanismi di svalutazione</w:t>
            </w:r>
          </w:p>
          <w:p w14:paraId="4699CA87" w14:textId="77777777" w:rsidR="00C85971" w:rsidRPr="000D715C" w:rsidRDefault="00C85971" w:rsidP="00B72562">
            <w:pPr>
              <w:spacing w:after="160"/>
              <w:jc w:val="both"/>
              <w:rPr>
                <w:rFonts w:ascii="Times New Roman" w:eastAsia="Times New Roman" w:hAnsi="Times New Roman" w:cs="Times New Roman"/>
                <w:sz w:val="24"/>
              </w:rPr>
            </w:pPr>
            <w:r w:rsidRPr="000D715C">
              <w:rPr>
                <w:rFonts w:ascii="Times New Roman" w:hAnsi="Times New Roman"/>
                <w:sz w:val="24"/>
              </w:rPr>
              <w:t xml:space="preserve">Gli enti specificano se esistono meccanismi di svalutazione. </w:t>
            </w:r>
          </w:p>
          <w:p w14:paraId="14FB6667" w14:textId="77777777" w:rsidR="00C85971" w:rsidRPr="000D715C" w:rsidRDefault="00C85971" w:rsidP="00B72562">
            <w:pPr>
              <w:spacing w:after="160"/>
              <w:jc w:val="both"/>
              <w:rPr>
                <w:rFonts w:ascii="Times New Roman" w:eastAsia="Times New Roman" w:hAnsi="Times New Roman" w:cs="Times New Roman"/>
                <w:i/>
                <w:sz w:val="24"/>
              </w:rPr>
            </w:pPr>
            <w:r w:rsidRPr="000D715C">
              <w:rPr>
                <w:rFonts w:ascii="Times New Roman" w:hAnsi="Times New Roman"/>
                <w:i/>
                <w:sz w:val="24"/>
              </w:rPr>
              <w:t>Selezionare dal menu: [SÌ] [NO]</w:t>
            </w:r>
          </w:p>
        </w:tc>
      </w:tr>
      <w:tr w:rsidR="00C85971" w:rsidRPr="000D715C" w14:paraId="1E910235" w14:textId="77777777" w:rsidTr="00D819DE">
        <w:trPr>
          <w:trHeight w:val="259"/>
        </w:trPr>
        <w:tc>
          <w:tcPr>
            <w:tcW w:w="1030" w:type="dxa"/>
            <w:vAlign w:val="center"/>
          </w:tcPr>
          <w:p w14:paraId="4E24BE5F" w14:textId="77777777" w:rsidR="00C85971" w:rsidRPr="000D715C" w:rsidRDefault="00C85971" w:rsidP="00B72562">
            <w:pPr>
              <w:spacing w:after="160" w:line="276" w:lineRule="auto"/>
              <w:rPr>
                <w:rFonts w:ascii="Times New Roman" w:eastAsia="Times New Roman" w:hAnsi="Times New Roman" w:cs="Times New Roman"/>
                <w:sz w:val="24"/>
              </w:rPr>
            </w:pPr>
            <w:r w:rsidRPr="000D715C">
              <w:rPr>
                <w:rFonts w:ascii="Times New Roman" w:hAnsi="Times New Roman"/>
                <w:sz w:val="24"/>
              </w:rPr>
              <w:t>31</w:t>
            </w:r>
          </w:p>
        </w:tc>
        <w:tc>
          <w:tcPr>
            <w:tcW w:w="7661" w:type="dxa"/>
            <w:shd w:val="clear" w:color="auto" w:fill="auto"/>
            <w:noWrap/>
            <w:vAlign w:val="bottom"/>
          </w:tcPr>
          <w:p w14:paraId="72A83167" w14:textId="77777777" w:rsidR="00C85971" w:rsidRPr="000D715C" w:rsidRDefault="00C85971" w:rsidP="00B72562">
            <w:pPr>
              <w:autoSpaceDE w:val="0"/>
              <w:autoSpaceDN w:val="0"/>
              <w:adjustRightInd w:val="0"/>
              <w:spacing w:after="160"/>
              <w:jc w:val="both"/>
              <w:rPr>
                <w:rFonts w:ascii="Times New Roman" w:eastAsia="Times New Roman" w:hAnsi="Times New Roman" w:cs="Times New Roman"/>
                <w:sz w:val="24"/>
              </w:rPr>
            </w:pPr>
            <w:r w:rsidRPr="000D715C">
              <w:rPr>
                <w:rFonts w:ascii="Times New Roman" w:hAnsi="Times New Roman"/>
                <w:sz w:val="24"/>
              </w:rPr>
              <w:t>In caso di svalutazione, eventi che la determinano</w:t>
            </w:r>
          </w:p>
          <w:p w14:paraId="397C3607" w14:textId="5CCB22B4" w:rsidR="00C85971" w:rsidRPr="000D715C" w:rsidRDefault="00C85971" w:rsidP="00B72562">
            <w:pPr>
              <w:autoSpaceDE w:val="0"/>
              <w:autoSpaceDN w:val="0"/>
              <w:adjustRightInd w:val="0"/>
              <w:spacing w:after="160"/>
              <w:jc w:val="both"/>
              <w:rPr>
                <w:rFonts w:ascii="Times New Roman" w:eastAsia="Times New Roman" w:hAnsi="Times New Roman" w:cs="Times New Roman"/>
                <w:sz w:val="24"/>
              </w:rPr>
            </w:pPr>
            <w:r w:rsidRPr="000D715C">
              <w:rPr>
                <w:rFonts w:ascii="Times New Roman" w:hAnsi="Times New Roman"/>
                <w:sz w:val="24"/>
              </w:rPr>
              <w:t>Gli enti specificano gli eventi che determinano la svalutazione, compreso il momento in cui l</w:t>
            </w:r>
            <w:r w:rsidR="005424B9" w:rsidRPr="000D715C">
              <w:rPr>
                <w:rFonts w:ascii="Times New Roman" w:hAnsi="Times New Roman"/>
                <w:sz w:val="24"/>
              </w:rPr>
              <w:t>'</w:t>
            </w:r>
            <w:r w:rsidRPr="000D715C">
              <w:rPr>
                <w:rFonts w:ascii="Times New Roman" w:hAnsi="Times New Roman"/>
                <w:sz w:val="24"/>
              </w:rPr>
              <w:t>ente non è redditizio. Nel caso in cui la svalutazione possa essere attivata da una o più autorità, elencare le autorità in questione. Per ogni autorità, è indicato se la base giuridica che permette all</w:t>
            </w:r>
            <w:r w:rsidR="005424B9" w:rsidRPr="000D715C">
              <w:rPr>
                <w:rFonts w:ascii="Times New Roman" w:hAnsi="Times New Roman"/>
                <w:sz w:val="24"/>
              </w:rPr>
              <w:t>'</w:t>
            </w:r>
            <w:r w:rsidRPr="000D715C">
              <w:rPr>
                <w:rFonts w:ascii="Times New Roman" w:hAnsi="Times New Roman"/>
                <w:sz w:val="24"/>
              </w:rPr>
              <w:t xml:space="preserve">autorità di attivare la svalutazione è prevista dalle clausole del contratto relativo allo strumento (approccio contrattuale) o dalla normativa (approccio normativo). </w:t>
            </w:r>
          </w:p>
          <w:p w14:paraId="6D317CE3" w14:textId="77777777" w:rsidR="00C85971" w:rsidRPr="000D715C" w:rsidRDefault="00C85971" w:rsidP="00B72562">
            <w:pPr>
              <w:spacing w:after="160"/>
              <w:jc w:val="both"/>
              <w:rPr>
                <w:rFonts w:ascii="Times New Roman" w:eastAsia="Times New Roman" w:hAnsi="Times New Roman" w:cs="Times New Roman"/>
                <w:i/>
                <w:sz w:val="24"/>
              </w:rPr>
            </w:pPr>
            <w:r w:rsidRPr="000D715C">
              <w:rPr>
                <w:rFonts w:ascii="Times New Roman" w:hAnsi="Times New Roman"/>
                <w:i/>
                <w:sz w:val="24"/>
              </w:rPr>
              <w:t>Testo libero</w:t>
            </w:r>
          </w:p>
        </w:tc>
      </w:tr>
      <w:tr w:rsidR="00C85971" w:rsidRPr="000D715C" w14:paraId="6949351B" w14:textId="77777777" w:rsidTr="00D819DE">
        <w:trPr>
          <w:trHeight w:val="259"/>
        </w:trPr>
        <w:tc>
          <w:tcPr>
            <w:tcW w:w="1030" w:type="dxa"/>
            <w:vAlign w:val="center"/>
          </w:tcPr>
          <w:p w14:paraId="3C0E7AE7" w14:textId="77777777" w:rsidR="00C85971" w:rsidRPr="000D715C" w:rsidRDefault="00C85971" w:rsidP="00B72562">
            <w:pPr>
              <w:spacing w:after="160" w:line="276" w:lineRule="auto"/>
              <w:rPr>
                <w:rFonts w:ascii="Times New Roman" w:eastAsia="Times New Roman" w:hAnsi="Times New Roman" w:cs="Times New Roman"/>
                <w:sz w:val="24"/>
              </w:rPr>
            </w:pPr>
            <w:r w:rsidRPr="000D715C">
              <w:rPr>
                <w:rFonts w:ascii="Times New Roman" w:hAnsi="Times New Roman"/>
                <w:sz w:val="24"/>
              </w:rPr>
              <w:t>32</w:t>
            </w:r>
          </w:p>
        </w:tc>
        <w:tc>
          <w:tcPr>
            <w:tcW w:w="7661" w:type="dxa"/>
            <w:shd w:val="clear" w:color="auto" w:fill="auto"/>
            <w:noWrap/>
            <w:vAlign w:val="bottom"/>
          </w:tcPr>
          <w:p w14:paraId="128DCCFB" w14:textId="77777777" w:rsidR="00C85971" w:rsidRPr="000D715C" w:rsidRDefault="00C85971" w:rsidP="00B72562">
            <w:pPr>
              <w:spacing w:after="160"/>
              <w:jc w:val="both"/>
              <w:rPr>
                <w:rFonts w:ascii="Times New Roman" w:eastAsia="Times New Roman" w:hAnsi="Times New Roman" w:cs="Times New Roman"/>
                <w:sz w:val="24"/>
              </w:rPr>
            </w:pPr>
            <w:r w:rsidRPr="000D715C">
              <w:rPr>
                <w:rFonts w:ascii="Times New Roman" w:hAnsi="Times New Roman"/>
                <w:sz w:val="24"/>
              </w:rPr>
              <w:t>In caso di svalutazione, svalutazione totale o parziale</w:t>
            </w:r>
          </w:p>
          <w:p w14:paraId="64FD8396" w14:textId="77777777" w:rsidR="00C85971" w:rsidRPr="000D715C" w:rsidRDefault="00C85971" w:rsidP="00B72562">
            <w:pPr>
              <w:spacing w:after="160"/>
              <w:jc w:val="both"/>
              <w:rPr>
                <w:rFonts w:ascii="Times New Roman" w:eastAsia="Times New Roman" w:hAnsi="Times New Roman" w:cs="Times New Roman"/>
                <w:sz w:val="24"/>
              </w:rPr>
            </w:pPr>
            <w:r w:rsidRPr="000D715C">
              <w:rPr>
                <w:rFonts w:ascii="Times New Roman" w:hAnsi="Times New Roman"/>
                <w:sz w:val="24"/>
              </w:rPr>
              <w:t>Gli enti specificano se lo strumento sarà sempre svalutato integralmente, potrà essere svalutato parzialmente, o sarà sempre svalutato parzialmente. Contribuisce alla valutazione del livello di assorbimento delle perdite al momento della svalutazione.</w:t>
            </w:r>
          </w:p>
          <w:p w14:paraId="6CADF97E" w14:textId="77777777" w:rsidR="00C85971" w:rsidRPr="000D715C" w:rsidRDefault="00C85971" w:rsidP="00B72562">
            <w:pPr>
              <w:spacing w:after="160"/>
              <w:jc w:val="both"/>
              <w:rPr>
                <w:rFonts w:ascii="Times New Roman" w:eastAsia="Times New Roman" w:hAnsi="Times New Roman" w:cs="Times New Roman"/>
                <w:i/>
                <w:sz w:val="24"/>
              </w:rPr>
            </w:pPr>
            <w:r w:rsidRPr="000D715C">
              <w:rPr>
                <w:rFonts w:ascii="Times New Roman" w:hAnsi="Times New Roman"/>
                <w:i/>
                <w:sz w:val="24"/>
              </w:rPr>
              <w:t>Selezionare dal menu: [Sempre integralmente] [Integralmente o parzialmente] [Sempre parzialmente]</w:t>
            </w:r>
          </w:p>
        </w:tc>
      </w:tr>
      <w:tr w:rsidR="00C85971" w:rsidRPr="000D715C" w14:paraId="7C1FC81B" w14:textId="77777777" w:rsidTr="00D819DE">
        <w:trPr>
          <w:trHeight w:val="259"/>
        </w:trPr>
        <w:tc>
          <w:tcPr>
            <w:tcW w:w="1030" w:type="dxa"/>
            <w:vAlign w:val="center"/>
          </w:tcPr>
          <w:p w14:paraId="38874106" w14:textId="77777777" w:rsidR="00C85971" w:rsidRPr="000D715C" w:rsidRDefault="00C85971" w:rsidP="00B72562">
            <w:pPr>
              <w:spacing w:after="160" w:line="276" w:lineRule="auto"/>
              <w:rPr>
                <w:rFonts w:ascii="Times New Roman" w:eastAsia="Times New Roman" w:hAnsi="Times New Roman" w:cs="Times New Roman"/>
                <w:sz w:val="24"/>
              </w:rPr>
            </w:pPr>
            <w:r w:rsidRPr="000D715C">
              <w:rPr>
                <w:rFonts w:ascii="Times New Roman" w:hAnsi="Times New Roman"/>
                <w:sz w:val="24"/>
              </w:rPr>
              <w:lastRenderedPageBreak/>
              <w:t>33</w:t>
            </w:r>
          </w:p>
        </w:tc>
        <w:tc>
          <w:tcPr>
            <w:tcW w:w="7661" w:type="dxa"/>
            <w:shd w:val="clear" w:color="auto" w:fill="auto"/>
            <w:noWrap/>
            <w:vAlign w:val="bottom"/>
          </w:tcPr>
          <w:p w14:paraId="37D65274" w14:textId="77777777" w:rsidR="00C85971" w:rsidRPr="000D715C" w:rsidRDefault="00C85971" w:rsidP="00B72562">
            <w:pPr>
              <w:spacing w:after="160"/>
              <w:jc w:val="both"/>
              <w:rPr>
                <w:rFonts w:ascii="Times New Roman" w:eastAsia="Times New Roman" w:hAnsi="Times New Roman" w:cs="Times New Roman"/>
                <w:sz w:val="24"/>
              </w:rPr>
            </w:pPr>
            <w:r w:rsidRPr="000D715C">
              <w:rPr>
                <w:rFonts w:ascii="Times New Roman" w:hAnsi="Times New Roman"/>
                <w:sz w:val="24"/>
              </w:rPr>
              <w:t>In caso di svalutazione, svalutazione permanente o temporanea</w:t>
            </w:r>
          </w:p>
          <w:p w14:paraId="34260CB9" w14:textId="77777777" w:rsidR="00C85971" w:rsidRPr="000D715C" w:rsidRDefault="00C85971" w:rsidP="00B72562">
            <w:pPr>
              <w:spacing w:after="160"/>
              <w:jc w:val="both"/>
              <w:rPr>
                <w:rFonts w:ascii="Times New Roman" w:eastAsia="Times New Roman" w:hAnsi="Times New Roman" w:cs="Times New Roman"/>
                <w:sz w:val="24"/>
              </w:rPr>
            </w:pPr>
            <w:r w:rsidRPr="000D715C">
              <w:rPr>
                <w:rFonts w:ascii="Times New Roman" w:hAnsi="Times New Roman"/>
                <w:sz w:val="24"/>
              </w:rPr>
              <w:t xml:space="preserve">Per gli strumenti di svalutazione, gli enti specificano se la svalutazione è permanente o temporanea. </w:t>
            </w:r>
          </w:p>
          <w:p w14:paraId="32C2F438" w14:textId="77777777" w:rsidR="00C85971" w:rsidRPr="000D715C" w:rsidRDefault="00C85971" w:rsidP="00B72562">
            <w:pPr>
              <w:spacing w:after="160"/>
              <w:jc w:val="both"/>
              <w:rPr>
                <w:rFonts w:ascii="Times New Roman" w:eastAsia="Times New Roman" w:hAnsi="Times New Roman" w:cs="Times New Roman"/>
                <w:i/>
                <w:sz w:val="24"/>
              </w:rPr>
            </w:pPr>
            <w:r w:rsidRPr="000D715C">
              <w:rPr>
                <w:rFonts w:ascii="Times New Roman" w:hAnsi="Times New Roman"/>
                <w:i/>
                <w:sz w:val="24"/>
              </w:rPr>
              <w:t>Selezionare dal menu: [Permanente] [Temporanea] [N/A]</w:t>
            </w:r>
          </w:p>
        </w:tc>
      </w:tr>
      <w:tr w:rsidR="00C85971" w:rsidRPr="000D715C" w14:paraId="77828B7A" w14:textId="77777777" w:rsidTr="00D819DE">
        <w:trPr>
          <w:trHeight w:val="259"/>
        </w:trPr>
        <w:tc>
          <w:tcPr>
            <w:tcW w:w="1030" w:type="dxa"/>
            <w:vAlign w:val="center"/>
          </w:tcPr>
          <w:p w14:paraId="6A4CA3C0" w14:textId="77777777" w:rsidR="00C85971" w:rsidRPr="000D715C" w:rsidRDefault="00C85971" w:rsidP="00B72562">
            <w:pPr>
              <w:spacing w:after="160" w:line="276" w:lineRule="auto"/>
              <w:rPr>
                <w:rFonts w:ascii="Times New Roman" w:eastAsia="Times New Roman" w:hAnsi="Times New Roman" w:cs="Times New Roman"/>
                <w:sz w:val="24"/>
              </w:rPr>
            </w:pPr>
            <w:r w:rsidRPr="000D715C">
              <w:rPr>
                <w:rFonts w:ascii="Times New Roman" w:hAnsi="Times New Roman"/>
                <w:sz w:val="24"/>
              </w:rPr>
              <w:t>34</w:t>
            </w:r>
          </w:p>
        </w:tc>
        <w:tc>
          <w:tcPr>
            <w:tcW w:w="7661" w:type="dxa"/>
            <w:shd w:val="clear" w:color="auto" w:fill="auto"/>
            <w:noWrap/>
            <w:vAlign w:val="bottom"/>
          </w:tcPr>
          <w:p w14:paraId="1932E4FA" w14:textId="77777777" w:rsidR="00C85971" w:rsidRPr="000D715C" w:rsidRDefault="00C85971" w:rsidP="00B72562">
            <w:pPr>
              <w:spacing w:after="160"/>
              <w:jc w:val="both"/>
              <w:rPr>
                <w:rFonts w:ascii="Times New Roman" w:eastAsia="Times New Roman" w:hAnsi="Times New Roman" w:cs="Times New Roman"/>
                <w:sz w:val="24"/>
              </w:rPr>
            </w:pPr>
            <w:r w:rsidRPr="000D715C">
              <w:rPr>
                <w:rFonts w:ascii="Times New Roman" w:hAnsi="Times New Roman"/>
                <w:sz w:val="24"/>
              </w:rPr>
              <w:t xml:space="preserve">In caso di svalutazione temporanea, descrizione del meccanismo di rivalutazione </w:t>
            </w:r>
          </w:p>
          <w:p w14:paraId="508717B2" w14:textId="77777777" w:rsidR="00C85971" w:rsidRPr="000D715C" w:rsidRDefault="00C85971" w:rsidP="00B72562">
            <w:pPr>
              <w:spacing w:after="160"/>
              <w:jc w:val="both"/>
              <w:rPr>
                <w:rFonts w:ascii="Times New Roman" w:eastAsia="Times New Roman" w:hAnsi="Times New Roman" w:cs="Times New Roman"/>
                <w:sz w:val="24"/>
              </w:rPr>
            </w:pPr>
            <w:r w:rsidRPr="000D715C">
              <w:rPr>
                <w:rFonts w:ascii="Times New Roman" w:hAnsi="Times New Roman"/>
                <w:sz w:val="24"/>
              </w:rPr>
              <w:t>Gli enti descrivono il meccanismo di rivalutazione.</w:t>
            </w:r>
          </w:p>
          <w:p w14:paraId="69A4EF70" w14:textId="77777777" w:rsidR="00C85971" w:rsidRPr="000D715C" w:rsidRDefault="00C85971" w:rsidP="00B72562">
            <w:pPr>
              <w:spacing w:after="160"/>
              <w:jc w:val="both"/>
              <w:rPr>
                <w:rFonts w:ascii="Times New Roman" w:eastAsia="Times New Roman" w:hAnsi="Times New Roman" w:cs="Times New Roman"/>
                <w:i/>
                <w:sz w:val="24"/>
              </w:rPr>
            </w:pPr>
            <w:r w:rsidRPr="000D715C">
              <w:rPr>
                <w:rFonts w:ascii="Times New Roman" w:hAnsi="Times New Roman"/>
                <w:i/>
                <w:sz w:val="24"/>
              </w:rPr>
              <w:t>Testo libero</w:t>
            </w:r>
          </w:p>
        </w:tc>
      </w:tr>
      <w:tr w:rsidR="00C85971" w:rsidRPr="000D715C" w14:paraId="154793E4" w14:textId="77777777" w:rsidTr="00D819DE">
        <w:trPr>
          <w:trHeight w:val="259"/>
        </w:trPr>
        <w:tc>
          <w:tcPr>
            <w:tcW w:w="1030" w:type="dxa"/>
            <w:vAlign w:val="center"/>
          </w:tcPr>
          <w:p w14:paraId="662DC7D2" w14:textId="77777777" w:rsidR="00C85971" w:rsidRPr="000D715C" w:rsidRDefault="00C85971" w:rsidP="00B72562">
            <w:pPr>
              <w:spacing w:after="160" w:line="276" w:lineRule="auto"/>
              <w:rPr>
                <w:rFonts w:ascii="Times New Roman" w:eastAsia="Times New Roman" w:hAnsi="Times New Roman" w:cs="Times New Roman"/>
                <w:sz w:val="24"/>
              </w:rPr>
            </w:pPr>
            <w:r w:rsidRPr="000D715C">
              <w:rPr>
                <w:rFonts w:ascii="Times New Roman" w:hAnsi="Times New Roman"/>
                <w:sz w:val="24"/>
              </w:rPr>
              <w:t>34a</w:t>
            </w:r>
          </w:p>
        </w:tc>
        <w:tc>
          <w:tcPr>
            <w:tcW w:w="7661" w:type="dxa"/>
            <w:shd w:val="clear" w:color="auto" w:fill="auto"/>
            <w:noWrap/>
            <w:vAlign w:val="bottom"/>
          </w:tcPr>
          <w:p w14:paraId="0557B0EA" w14:textId="77777777" w:rsidR="00C85971" w:rsidRPr="000D715C" w:rsidRDefault="00C85971" w:rsidP="00B72562">
            <w:pPr>
              <w:spacing w:after="160"/>
              <w:jc w:val="both"/>
              <w:rPr>
                <w:rFonts w:ascii="Times New Roman" w:eastAsia="Times New Roman" w:hAnsi="Times New Roman" w:cs="Times New Roman"/>
                <w:sz w:val="24"/>
              </w:rPr>
            </w:pPr>
            <w:r w:rsidRPr="000D715C">
              <w:rPr>
                <w:rFonts w:ascii="Times New Roman" w:hAnsi="Times New Roman"/>
                <w:sz w:val="24"/>
              </w:rPr>
              <w:t>Tipo di subordinazione (solo per le passività ammissibili)</w:t>
            </w:r>
          </w:p>
          <w:p w14:paraId="102AAA85" w14:textId="14573805" w:rsidR="00C85971" w:rsidRPr="000D715C" w:rsidRDefault="00C85971" w:rsidP="00B72562">
            <w:pPr>
              <w:spacing w:after="160"/>
              <w:jc w:val="both"/>
              <w:rPr>
                <w:rFonts w:ascii="Times New Roman" w:eastAsia="Times New Roman" w:hAnsi="Times New Roman" w:cs="Times New Roman"/>
                <w:sz w:val="24"/>
              </w:rPr>
            </w:pPr>
            <w:r w:rsidRPr="000D715C">
              <w:rPr>
                <w:rFonts w:ascii="Times New Roman" w:hAnsi="Times New Roman"/>
                <w:sz w:val="24"/>
              </w:rPr>
              <w:t>Gli enti specificano se lo strumento soddisfa uno dei tipi di subordinazione di cui all</w:t>
            </w:r>
            <w:r w:rsidR="005424B9" w:rsidRPr="000D715C">
              <w:rPr>
                <w:rFonts w:ascii="Times New Roman" w:hAnsi="Times New Roman"/>
                <w:sz w:val="24"/>
              </w:rPr>
              <w:t>'</w:t>
            </w:r>
            <w:r w:rsidRPr="000D715C">
              <w:rPr>
                <w:rFonts w:ascii="Times New Roman" w:hAnsi="Times New Roman"/>
                <w:sz w:val="24"/>
              </w:rPr>
              <w:t xml:space="preserve">articolo 72 ter, paragrafo 2, lettera d), punti i), ii) e iii), del CRR. </w:t>
            </w:r>
          </w:p>
          <w:p w14:paraId="4FDC7BEB" w14:textId="77777777" w:rsidR="00C85971" w:rsidRPr="000D715C" w:rsidRDefault="00C85971" w:rsidP="00B72562">
            <w:pPr>
              <w:spacing w:after="160"/>
              <w:jc w:val="both"/>
              <w:rPr>
                <w:rFonts w:ascii="Times New Roman" w:eastAsia="Times New Roman" w:hAnsi="Times New Roman" w:cs="Times New Roman"/>
                <w:i/>
                <w:sz w:val="24"/>
              </w:rPr>
            </w:pPr>
            <w:r w:rsidRPr="000D715C">
              <w:rPr>
                <w:rFonts w:ascii="Times New Roman" w:hAnsi="Times New Roman"/>
                <w:i/>
                <w:sz w:val="24"/>
              </w:rPr>
              <w:t>Selezionare dal menu:</w:t>
            </w:r>
          </w:p>
          <w:p w14:paraId="588ACAC6" w14:textId="1660A592" w:rsidR="00C85971" w:rsidRPr="000D715C" w:rsidRDefault="00C85971" w:rsidP="00B72562">
            <w:pPr>
              <w:spacing w:after="160"/>
              <w:jc w:val="both"/>
              <w:rPr>
                <w:rFonts w:ascii="Times New Roman" w:eastAsia="Times New Roman" w:hAnsi="Times New Roman" w:cs="Times New Roman"/>
                <w:i/>
                <w:sz w:val="24"/>
              </w:rPr>
            </w:pPr>
            <w:r w:rsidRPr="000D715C">
              <w:rPr>
                <w:rFonts w:ascii="Times New Roman" w:hAnsi="Times New Roman"/>
                <w:i/>
                <w:sz w:val="24"/>
              </w:rPr>
              <w:t xml:space="preserve"> [Contrattuale] se lo strumento soddisfa i requisiti di cui all</w:t>
            </w:r>
            <w:r w:rsidR="005424B9" w:rsidRPr="000D715C">
              <w:rPr>
                <w:rFonts w:ascii="Times New Roman" w:hAnsi="Times New Roman"/>
                <w:i/>
                <w:sz w:val="24"/>
              </w:rPr>
              <w:t>'</w:t>
            </w:r>
            <w:r w:rsidRPr="000D715C">
              <w:rPr>
                <w:rFonts w:ascii="Times New Roman" w:hAnsi="Times New Roman"/>
                <w:i/>
                <w:sz w:val="24"/>
              </w:rPr>
              <w:t>articolo 72 ter, paragrafo 2, lettera d), punto i), del CRR;</w:t>
            </w:r>
          </w:p>
          <w:p w14:paraId="5F91F70D" w14:textId="22184B12" w:rsidR="00C85971" w:rsidRPr="000D715C" w:rsidRDefault="00C85971" w:rsidP="00B72562">
            <w:pPr>
              <w:spacing w:after="160"/>
              <w:jc w:val="both"/>
              <w:rPr>
                <w:rFonts w:ascii="Times New Roman" w:eastAsia="Times New Roman" w:hAnsi="Times New Roman" w:cs="Times New Roman"/>
                <w:i/>
                <w:sz w:val="24"/>
              </w:rPr>
            </w:pPr>
            <w:r w:rsidRPr="000D715C">
              <w:rPr>
                <w:rFonts w:ascii="Times New Roman" w:hAnsi="Times New Roman"/>
                <w:i/>
                <w:sz w:val="24"/>
              </w:rPr>
              <w:t xml:space="preserve"> [Regolamentare] se lo strumento soddisfa i requisiti di cui all</w:t>
            </w:r>
            <w:r w:rsidR="005424B9" w:rsidRPr="000D715C">
              <w:rPr>
                <w:rFonts w:ascii="Times New Roman" w:hAnsi="Times New Roman"/>
                <w:i/>
                <w:sz w:val="24"/>
              </w:rPr>
              <w:t>'</w:t>
            </w:r>
            <w:r w:rsidRPr="000D715C">
              <w:rPr>
                <w:rFonts w:ascii="Times New Roman" w:hAnsi="Times New Roman"/>
                <w:i/>
                <w:sz w:val="24"/>
              </w:rPr>
              <w:t>articolo 72 ter, paragrafo 2, lettera d), punto ii), del CRR;</w:t>
            </w:r>
          </w:p>
          <w:p w14:paraId="7DBFA7DA" w14:textId="66B368A7" w:rsidR="00C85971" w:rsidRPr="000D715C" w:rsidRDefault="00C85971" w:rsidP="00B72562">
            <w:pPr>
              <w:spacing w:after="160"/>
              <w:jc w:val="both"/>
              <w:rPr>
                <w:rFonts w:ascii="Times New Roman" w:eastAsia="Times New Roman" w:hAnsi="Times New Roman" w:cs="Times New Roman"/>
                <w:i/>
                <w:sz w:val="24"/>
              </w:rPr>
            </w:pPr>
            <w:r w:rsidRPr="000D715C">
              <w:rPr>
                <w:rFonts w:ascii="Times New Roman" w:hAnsi="Times New Roman"/>
                <w:i/>
                <w:sz w:val="24"/>
              </w:rPr>
              <w:t>[Strutturale] se lo strumento soddisfa i requisiti di cui all</w:t>
            </w:r>
            <w:r w:rsidR="005424B9" w:rsidRPr="000D715C">
              <w:rPr>
                <w:rFonts w:ascii="Times New Roman" w:hAnsi="Times New Roman"/>
                <w:i/>
                <w:sz w:val="24"/>
              </w:rPr>
              <w:t>'</w:t>
            </w:r>
            <w:r w:rsidRPr="000D715C">
              <w:rPr>
                <w:rFonts w:ascii="Times New Roman" w:hAnsi="Times New Roman"/>
                <w:i/>
                <w:sz w:val="24"/>
              </w:rPr>
              <w:t xml:space="preserve">articolo 72 ter, paragrafo 2, lettera d), punto iii), del CRR; </w:t>
            </w:r>
          </w:p>
          <w:p w14:paraId="3C97593F" w14:textId="2B8BAE79" w:rsidR="00C85971" w:rsidRPr="000D715C" w:rsidRDefault="00C85971" w:rsidP="00B72562">
            <w:pPr>
              <w:spacing w:after="160"/>
              <w:jc w:val="both"/>
              <w:rPr>
                <w:rFonts w:ascii="Times New Roman" w:eastAsia="Times New Roman" w:hAnsi="Times New Roman" w:cs="Times New Roman"/>
                <w:sz w:val="24"/>
              </w:rPr>
            </w:pPr>
            <w:r w:rsidRPr="000D715C">
              <w:rPr>
                <w:rFonts w:ascii="Times New Roman" w:hAnsi="Times New Roman"/>
                <w:i/>
                <w:sz w:val="24"/>
              </w:rPr>
              <w:t>[Esenzione dalla subordinazione] se lo strumento non soddisfa nessuna delle succitate forme di subordinazione e a condizione che l</w:t>
            </w:r>
            <w:r w:rsidR="005424B9" w:rsidRPr="000D715C">
              <w:rPr>
                <w:rFonts w:ascii="Times New Roman" w:hAnsi="Times New Roman"/>
                <w:i/>
                <w:sz w:val="24"/>
              </w:rPr>
              <w:t>'</w:t>
            </w:r>
            <w:r w:rsidRPr="000D715C">
              <w:rPr>
                <w:rFonts w:ascii="Times New Roman" w:hAnsi="Times New Roman"/>
                <w:i/>
                <w:sz w:val="24"/>
              </w:rPr>
              <w:t>ente sia stato autorizzato a norma dell</w:t>
            </w:r>
            <w:r w:rsidR="005424B9" w:rsidRPr="000D715C">
              <w:rPr>
                <w:rFonts w:ascii="Times New Roman" w:hAnsi="Times New Roman"/>
                <w:i/>
                <w:sz w:val="24"/>
              </w:rPr>
              <w:t>'</w:t>
            </w:r>
            <w:r w:rsidRPr="000D715C">
              <w:rPr>
                <w:rFonts w:ascii="Times New Roman" w:hAnsi="Times New Roman"/>
                <w:i/>
                <w:sz w:val="24"/>
              </w:rPr>
              <w:t>articolo 72 ter, paragrafo 4, del CRR, a includere le passività non subordinate tra gli elementi di passività ammissibili.</w:t>
            </w:r>
          </w:p>
        </w:tc>
      </w:tr>
      <w:tr w:rsidR="00C85971" w:rsidRPr="000D715C" w14:paraId="338C8AE0" w14:textId="77777777" w:rsidTr="00D819DE">
        <w:trPr>
          <w:trHeight w:val="259"/>
        </w:trPr>
        <w:tc>
          <w:tcPr>
            <w:tcW w:w="1030" w:type="dxa"/>
            <w:vAlign w:val="center"/>
          </w:tcPr>
          <w:p w14:paraId="760148AC" w14:textId="77777777" w:rsidR="00C85971" w:rsidRPr="000D715C" w:rsidRDefault="00C85971" w:rsidP="00B72562">
            <w:pPr>
              <w:spacing w:after="160" w:line="276" w:lineRule="auto"/>
              <w:rPr>
                <w:rFonts w:ascii="Times New Roman" w:eastAsia="Times New Roman" w:hAnsi="Times New Roman" w:cs="Times New Roman"/>
                <w:sz w:val="24"/>
              </w:rPr>
            </w:pPr>
            <w:r w:rsidRPr="000D715C">
              <w:rPr>
                <w:rFonts w:ascii="Times New Roman" w:hAnsi="Times New Roman"/>
                <w:sz w:val="24"/>
              </w:rPr>
              <w:t>EU-34b</w:t>
            </w:r>
          </w:p>
        </w:tc>
        <w:tc>
          <w:tcPr>
            <w:tcW w:w="7661" w:type="dxa"/>
            <w:shd w:val="clear" w:color="auto" w:fill="auto"/>
            <w:noWrap/>
            <w:vAlign w:val="bottom"/>
          </w:tcPr>
          <w:p w14:paraId="2A4DED31" w14:textId="77777777" w:rsidR="00C85971" w:rsidRPr="000D715C" w:rsidRDefault="00C85971" w:rsidP="00B72562">
            <w:pPr>
              <w:spacing w:after="160"/>
              <w:jc w:val="both"/>
              <w:rPr>
                <w:rFonts w:ascii="Times New Roman" w:eastAsia="Times New Roman" w:hAnsi="Times New Roman" w:cs="Times New Roman"/>
                <w:sz w:val="24"/>
              </w:rPr>
            </w:pPr>
            <w:r w:rsidRPr="000D715C">
              <w:rPr>
                <w:rFonts w:ascii="Times New Roman" w:hAnsi="Times New Roman"/>
                <w:sz w:val="24"/>
              </w:rPr>
              <w:t>Rango dello strumento nella procedura ordinaria di insolvenza</w:t>
            </w:r>
          </w:p>
          <w:p w14:paraId="0A912A46" w14:textId="77777777" w:rsidR="00C85971" w:rsidRPr="000D715C" w:rsidRDefault="00C85971" w:rsidP="00B72562">
            <w:pPr>
              <w:spacing w:after="160"/>
              <w:jc w:val="both"/>
              <w:rPr>
                <w:rFonts w:ascii="Times New Roman" w:eastAsia="Times New Roman" w:hAnsi="Times New Roman" w:cs="Times New Roman"/>
                <w:sz w:val="24"/>
              </w:rPr>
            </w:pPr>
            <w:r w:rsidRPr="000D715C">
              <w:rPr>
                <w:rFonts w:ascii="Times New Roman" w:hAnsi="Times New Roman"/>
                <w:sz w:val="24"/>
              </w:rPr>
              <w:t>Gli enti specificano il rango dello strumento nella procedura ordinaria di insolvenza.</w:t>
            </w:r>
          </w:p>
          <w:p w14:paraId="7E0F7F1E" w14:textId="77777777" w:rsidR="00C85971" w:rsidRPr="000D715C" w:rsidRDefault="00C85971" w:rsidP="00B72562">
            <w:pPr>
              <w:spacing w:after="160"/>
              <w:jc w:val="both"/>
              <w:rPr>
                <w:rFonts w:ascii="Times New Roman" w:eastAsia="Times New Roman" w:hAnsi="Times New Roman" w:cs="Times New Roman"/>
                <w:sz w:val="24"/>
              </w:rPr>
            </w:pPr>
            <w:r w:rsidRPr="000D715C">
              <w:rPr>
                <w:rFonts w:ascii="Times New Roman" w:hAnsi="Times New Roman"/>
                <w:i/>
                <w:sz w:val="24"/>
              </w:rPr>
              <w:t>Come definito in [ITS sulla segnalazione del MREL].</w:t>
            </w:r>
          </w:p>
        </w:tc>
      </w:tr>
      <w:tr w:rsidR="00C85971" w:rsidRPr="000D715C" w14:paraId="0010F19A" w14:textId="77777777" w:rsidTr="00D819DE">
        <w:trPr>
          <w:trHeight w:val="259"/>
        </w:trPr>
        <w:tc>
          <w:tcPr>
            <w:tcW w:w="1030" w:type="dxa"/>
            <w:vAlign w:val="center"/>
          </w:tcPr>
          <w:p w14:paraId="31B87949" w14:textId="77777777" w:rsidR="00C85971" w:rsidRPr="000D715C" w:rsidRDefault="00C85971" w:rsidP="00B72562">
            <w:pPr>
              <w:spacing w:after="160" w:line="276" w:lineRule="auto"/>
              <w:rPr>
                <w:rFonts w:ascii="Times New Roman" w:eastAsia="Times New Roman" w:hAnsi="Times New Roman" w:cs="Times New Roman"/>
                <w:sz w:val="24"/>
              </w:rPr>
            </w:pPr>
            <w:r w:rsidRPr="000D715C">
              <w:rPr>
                <w:rFonts w:ascii="Times New Roman" w:hAnsi="Times New Roman"/>
                <w:sz w:val="24"/>
              </w:rPr>
              <w:t>35</w:t>
            </w:r>
          </w:p>
        </w:tc>
        <w:tc>
          <w:tcPr>
            <w:tcW w:w="7661" w:type="dxa"/>
            <w:shd w:val="clear" w:color="auto" w:fill="auto"/>
            <w:noWrap/>
            <w:vAlign w:val="bottom"/>
          </w:tcPr>
          <w:p w14:paraId="0D11AB0E" w14:textId="77777777" w:rsidR="00C85971" w:rsidRPr="000D715C" w:rsidRDefault="00C85971" w:rsidP="00B72562">
            <w:pPr>
              <w:spacing w:after="160"/>
              <w:jc w:val="both"/>
              <w:rPr>
                <w:rFonts w:ascii="Times New Roman" w:eastAsia="Times New Roman" w:hAnsi="Times New Roman" w:cs="Times New Roman"/>
                <w:sz w:val="24"/>
              </w:rPr>
            </w:pPr>
            <w:r w:rsidRPr="000D715C">
              <w:rPr>
                <w:rFonts w:ascii="Times New Roman" w:hAnsi="Times New Roman"/>
                <w:sz w:val="24"/>
              </w:rPr>
              <w:t>Posizione nella gerarchia di subordinazione in caso di liquidazione (specificare il tipo di strumento di rango immediatamente superiore (senior))</w:t>
            </w:r>
          </w:p>
          <w:p w14:paraId="79DC0123" w14:textId="2E9CCA21" w:rsidR="00C85971" w:rsidRPr="000D715C" w:rsidRDefault="00C85971" w:rsidP="00B72562">
            <w:pPr>
              <w:spacing w:after="160"/>
              <w:jc w:val="both"/>
              <w:rPr>
                <w:rFonts w:ascii="Times New Roman" w:eastAsia="Times New Roman" w:hAnsi="Times New Roman" w:cs="Times New Roman"/>
                <w:sz w:val="24"/>
              </w:rPr>
            </w:pPr>
            <w:r w:rsidRPr="000D715C">
              <w:rPr>
                <w:rFonts w:ascii="Times New Roman" w:hAnsi="Times New Roman"/>
                <w:sz w:val="24"/>
              </w:rPr>
              <w:t>Gli enti specificano lo strumento al quale è immediatamente subordinato. Se del caso, le banche specificano i numeri di colonna degli strumenti di rango immediatamente inferiore all</w:t>
            </w:r>
            <w:r w:rsidR="005424B9" w:rsidRPr="000D715C">
              <w:rPr>
                <w:rFonts w:ascii="Times New Roman" w:hAnsi="Times New Roman"/>
                <w:sz w:val="24"/>
              </w:rPr>
              <w:t>'</w:t>
            </w:r>
            <w:r w:rsidRPr="000D715C">
              <w:rPr>
                <w:rFonts w:ascii="Times New Roman" w:hAnsi="Times New Roman"/>
                <w:sz w:val="24"/>
              </w:rPr>
              <w:t>interno della tabella per la pubblicazione delle informazioni sulle principali caratteristiche.</w:t>
            </w:r>
          </w:p>
          <w:p w14:paraId="08249FBE" w14:textId="77777777" w:rsidR="00C85971" w:rsidRPr="000D715C" w:rsidRDefault="00C85971" w:rsidP="00B72562">
            <w:pPr>
              <w:spacing w:after="160"/>
              <w:jc w:val="both"/>
              <w:rPr>
                <w:rFonts w:ascii="Times New Roman" w:eastAsia="Times New Roman" w:hAnsi="Times New Roman" w:cs="Times New Roman"/>
                <w:i/>
                <w:sz w:val="24"/>
              </w:rPr>
            </w:pPr>
            <w:r w:rsidRPr="000D715C">
              <w:rPr>
                <w:rFonts w:ascii="Times New Roman" w:hAnsi="Times New Roman"/>
                <w:i/>
                <w:sz w:val="24"/>
              </w:rPr>
              <w:t>Testo libero</w:t>
            </w:r>
          </w:p>
        </w:tc>
      </w:tr>
      <w:tr w:rsidR="00C85971" w:rsidRPr="000D715C" w14:paraId="772A47FC" w14:textId="77777777" w:rsidTr="00D819DE">
        <w:trPr>
          <w:trHeight w:val="259"/>
        </w:trPr>
        <w:tc>
          <w:tcPr>
            <w:tcW w:w="1030" w:type="dxa"/>
            <w:vAlign w:val="center"/>
          </w:tcPr>
          <w:p w14:paraId="25114F8D" w14:textId="77777777" w:rsidR="00C85971" w:rsidRPr="000D715C" w:rsidRDefault="00C85971" w:rsidP="00B72562">
            <w:pPr>
              <w:spacing w:after="160" w:line="276" w:lineRule="auto"/>
              <w:rPr>
                <w:rFonts w:ascii="Times New Roman" w:eastAsia="Times New Roman" w:hAnsi="Times New Roman" w:cs="Times New Roman"/>
                <w:sz w:val="24"/>
              </w:rPr>
            </w:pPr>
            <w:r w:rsidRPr="000D715C">
              <w:rPr>
                <w:rFonts w:ascii="Times New Roman" w:hAnsi="Times New Roman"/>
                <w:sz w:val="24"/>
              </w:rPr>
              <w:t>36</w:t>
            </w:r>
          </w:p>
        </w:tc>
        <w:tc>
          <w:tcPr>
            <w:tcW w:w="7661" w:type="dxa"/>
            <w:shd w:val="clear" w:color="auto" w:fill="auto"/>
            <w:noWrap/>
            <w:vAlign w:val="bottom"/>
          </w:tcPr>
          <w:p w14:paraId="2425AD51" w14:textId="77777777" w:rsidR="00C85971" w:rsidRPr="000D715C" w:rsidRDefault="00C85971" w:rsidP="00B72562">
            <w:pPr>
              <w:spacing w:after="160"/>
              <w:jc w:val="both"/>
              <w:rPr>
                <w:rFonts w:ascii="Times New Roman" w:eastAsia="Times New Roman" w:hAnsi="Times New Roman" w:cs="Times New Roman"/>
                <w:sz w:val="24"/>
              </w:rPr>
            </w:pPr>
            <w:r w:rsidRPr="000D715C">
              <w:rPr>
                <w:rFonts w:ascii="Times New Roman" w:hAnsi="Times New Roman"/>
                <w:sz w:val="24"/>
              </w:rPr>
              <w:t>Caratteristiche non conformi oggetto di disposizioni transitorie</w:t>
            </w:r>
          </w:p>
          <w:p w14:paraId="5476BC6A" w14:textId="77777777" w:rsidR="00C85971" w:rsidRPr="000D715C" w:rsidRDefault="00C85971" w:rsidP="00B72562">
            <w:pPr>
              <w:spacing w:after="160"/>
              <w:jc w:val="both"/>
              <w:rPr>
                <w:rFonts w:ascii="Times New Roman" w:eastAsia="Times New Roman" w:hAnsi="Times New Roman" w:cs="Times New Roman"/>
                <w:sz w:val="24"/>
              </w:rPr>
            </w:pPr>
            <w:r w:rsidRPr="000D715C">
              <w:rPr>
                <w:rFonts w:ascii="Times New Roman" w:hAnsi="Times New Roman"/>
                <w:sz w:val="24"/>
              </w:rPr>
              <w:t>Gli enti specificano eventuali caratteristiche non conformi.</w:t>
            </w:r>
          </w:p>
          <w:p w14:paraId="6A270CFD" w14:textId="77777777" w:rsidR="00C85971" w:rsidRPr="000D715C" w:rsidRDefault="00C85971" w:rsidP="00B72562">
            <w:pPr>
              <w:spacing w:after="160"/>
              <w:jc w:val="both"/>
              <w:rPr>
                <w:rFonts w:ascii="Times New Roman" w:eastAsia="Times New Roman" w:hAnsi="Times New Roman" w:cs="Times New Roman"/>
                <w:i/>
                <w:sz w:val="24"/>
              </w:rPr>
            </w:pPr>
            <w:r w:rsidRPr="000D715C">
              <w:rPr>
                <w:rFonts w:ascii="Times New Roman" w:hAnsi="Times New Roman"/>
                <w:i/>
                <w:sz w:val="24"/>
              </w:rPr>
              <w:t>Selezionare dal menu: [SÌ] [NO]</w:t>
            </w:r>
          </w:p>
        </w:tc>
      </w:tr>
      <w:tr w:rsidR="00C85971" w:rsidRPr="000D715C" w14:paraId="54FB02B7" w14:textId="77777777" w:rsidTr="00D819DE">
        <w:trPr>
          <w:trHeight w:val="259"/>
        </w:trPr>
        <w:tc>
          <w:tcPr>
            <w:tcW w:w="1030" w:type="dxa"/>
            <w:vAlign w:val="center"/>
          </w:tcPr>
          <w:p w14:paraId="2C1874FA" w14:textId="77777777" w:rsidR="00C85971" w:rsidRPr="000D715C" w:rsidRDefault="00C85971" w:rsidP="00D819DE">
            <w:pPr>
              <w:spacing w:after="200" w:line="276" w:lineRule="auto"/>
              <w:rPr>
                <w:rFonts w:ascii="Times New Roman" w:eastAsia="Times New Roman" w:hAnsi="Times New Roman" w:cs="Times New Roman"/>
                <w:sz w:val="24"/>
              </w:rPr>
            </w:pPr>
            <w:r w:rsidRPr="000D715C">
              <w:rPr>
                <w:rFonts w:ascii="Times New Roman" w:hAnsi="Times New Roman"/>
                <w:sz w:val="24"/>
              </w:rPr>
              <w:lastRenderedPageBreak/>
              <w:t>37</w:t>
            </w:r>
          </w:p>
        </w:tc>
        <w:tc>
          <w:tcPr>
            <w:tcW w:w="7661" w:type="dxa"/>
            <w:shd w:val="clear" w:color="auto" w:fill="auto"/>
            <w:noWrap/>
            <w:vAlign w:val="bottom"/>
          </w:tcPr>
          <w:p w14:paraId="414C59FC" w14:textId="77777777"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In caso affermativo, specificare le caratteristiche non conformi</w:t>
            </w:r>
          </w:p>
          <w:p w14:paraId="2924F71C" w14:textId="77777777"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 xml:space="preserve">In caso di caratteristiche non conformi, specificare quali. </w:t>
            </w:r>
          </w:p>
          <w:p w14:paraId="0A28A97E" w14:textId="77777777" w:rsidR="00C85971" w:rsidRPr="000D715C" w:rsidRDefault="00C85971" w:rsidP="00D819DE">
            <w:pPr>
              <w:spacing w:after="200"/>
              <w:jc w:val="both"/>
              <w:rPr>
                <w:rFonts w:ascii="Times New Roman" w:eastAsia="Times New Roman" w:hAnsi="Times New Roman" w:cs="Times New Roman"/>
                <w:i/>
                <w:sz w:val="24"/>
              </w:rPr>
            </w:pPr>
            <w:r w:rsidRPr="000D715C">
              <w:rPr>
                <w:rFonts w:ascii="Times New Roman" w:hAnsi="Times New Roman"/>
                <w:i/>
                <w:sz w:val="24"/>
              </w:rPr>
              <w:t>Testo libero</w:t>
            </w:r>
          </w:p>
        </w:tc>
      </w:tr>
      <w:tr w:rsidR="00C85971" w:rsidRPr="007F4CC8" w14:paraId="50E96DB8" w14:textId="77777777" w:rsidTr="00D819DE">
        <w:trPr>
          <w:trHeight w:val="259"/>
        </w:trPr>
        <w:tc>
          <w:tcPr>
            <w:tcW w:w="1030" w:type="dxa"/>
            <w:vAlign w:val="center"/>
          </w:tcPr>
          <w:p w14:paraId="3CA40C4F" w14:textId="77777777" w:rsidR="00C85971" w:rsidRPr="000D715C" w:rsidRDefault="00C85971" w:rsidP="00D819DE">
            <w:pPr>
              <w:spacing w:after="200" w:line="276" w:lineRule="auto"/>
              <w:rPr>
                <w:rFonts w:ascii="Times New Roman" w:eastAsia="Times New Roman" w:hAnsi="Times New Roman" w:cs="Times New Roman"/>
                <w:sz w:val="24"/>
              </w:rPr>
            </w:pPr>
            <w:r w:rsidRPr="000D715C">
              <w:rPr>
                <w:rFonts w:ascii="Times New Roman" w:hAnsi="Times New Roman"/>
                <w:sz w:val="24"/>
              </w:rPr>
              <w:t>EU-37a</w:t>
            </w:r>
          </w:p>
        </w:tc>
        <w:tc>
          <w:tcPr>
            <w:tcW w:w="7661" w:type="dxa"/>
            <w:shd w:val="clear" w:color="auto" w:fill="auto"/>
            <w:noWrap/>
            <w:vAlign w:val="bottom"/>
          </w:tcPr>
          <w:p w14:paraId="7C7906C4" w14:textId="77777777" w:rsidR="00C85971" w:rsidRPr="000D715C"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Link alla versione integrale dei termini e delle condizioni dello strumento (segnalazione)</w:t>
            </w:r>
          </w:p>
          <w:p w14:paraId="4A0585C3" w14:textId="77777777" w:rsidR="00C85971" w:rsidRPr="007F4CC8" w:rsidRDefault="00C85971" w:rsidP="00D819DE">
            <w:pPr>
              <w:spacing w:after="200"/>
              <w:jc w:val="both"/>
              <w:rPr>
                <w:rFonts w:ascii="Times New Roman" w:eastAsia="Times New Roman" w:hAnsi="Times New Roman" w:cs="Times New Roman"/>
                <w:sz w:val="24"/>
              </w:rPr>
            </w:pPr>
            <w:r w:rsidRPr="000D715C">
              <w:rPr>
                <w:rFonts w:ascii="Times New Roman" w:hAnsi="Times New Roman"/>
                <w:sz w:val="24"/>
              </w:rPr>
              <w:t>Gli enti includono il collegamento ipertestuale al prospetto di emissione, comprese le condizioni dello strumento.</w:t>
            </w:r>
          </w:p>
        </w:tc>
      </w:tr>
    </w:tbl>
    <w:p w14:paraId="2958B3D7" w14:textId="77777777" w:rsidR="004E3F4D" w:rsidRDefault="004E3F4D" w:rsidP="000D715C"/>
    <w:sectPr w:rsidR="004E3F4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E6DA2" w14:textId="77777777" w:rsidR="00F31365" w:rsidRDefault="00F31365" w:rsidP="00C85971">
      <w:r>
        <w:separator/>
      </w:r>
    </w:p>
  </w:endnote>
  <w:endnote w:type="continuationSeparator" w:id="0">
    <w:p w14:paraId="2F78553C" w14:textId="77777777" w:rsidR="00F31365" w:rsidRDefault="00F31365" w:rsidP="00C8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7893" w14:textId="77777777" w:rsidR="00C85971" w:rsidRDefault="00C8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977093"/>
      <w:docPartObj>
        <w:docPartGallery w:val="Page Numbers (Bottom of Page)"/>
        <w:docPartUnique/>
      </w:docPartObj>
    </w:sdtPr>
    <w:sdtEndPr>
      <w:rPr>
        <w:noProof/>
      </w:rPr>
    </w:sdtEndPr>
    <w:sdtContent>
      <w:p w14:paraId="7DADBA3A" w14:textId="77777777" w:rsidR="00C85971" w:rsidRDefault="00C85971">
        <w:pPr>
          <w:pStyle w:val="Footer"/>
          <w:jc w:val="right"/>
        </w:pPr>
        <w:r>
          <w:fldChar w:fldCharType="begin"/>
        </w:r>
        <w:r>
          <w:instrText xml:space="preserve"> PAGE   \* MERGEFORMAT </w:instrText>
        </w:r>
        <w:r>
          <w:fldChar w:fldCharType="separate"/>
        </w:r>
        <w:r>
          <w:t>23</w:t>
        </w:r>
        <w:r>
          <w:fldChar w:fldCharType="end"/>
        </w:r>
      </w:p>
    </w:sdtContent>
  </w:sdt>
  <w:p w14:paraId="0CCE5017" w14:textId="77777777" w:rsidR="00C85971" w:rsidRDefault="00C8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E15A" w14:textId="77777777" w:rsidR="00C85971" w:rsidRDefault="00C8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A6D33" w14:textId="77777777" w:rsidR="00F31365" w:rsidRDefault="00F31365" w:rsidP="00C85971">
      <w:r>
        <w:separator/>
      </w:r>
    </w:p>
  </w:footnote>
  <w:footnote w:type="continuationSeparator" w:id="0">
    <w:p w14:paraId="11DDB8F0" w14:textId="77777777" w:rsidR="00F31365" w:rsidRDefault="00F31365" w:rsidP="00C85971">
      <w:r>
        <w:continuationSeparator/>
      </w:r>
    </w:p>
  </w:footnote>
  <w:footnote w:id="1">
    <w:p w14:paraId="34C0D36E" w14:textId="21FBEC66" w:rsidR="00E05386" w:rsidRPr="00D54D58" w:rsidRDefault="00C85971" w:rsidP="00A30CA5">
      <w:pPr>
        <w:ind w:left="709" w:hanging="709"/>
        <w:jc w:val="both"/>
        <w:rPr>
          <w:rFonts w:ascii="Times New Roman" w:eastAsiaTheme="minorHAnsi" w:hAnsi="Times New Roman" w:cs="Times New Roman"/>
          <w:sz w:val="18"/>
          <w:szCs w:val="18"/>
        </w:rPr>
      </w:pPr>
      <w:r>
        <w:rPr>
          <w:rStyle w:val="FootnoteReference"/>
          <w:rFonts w:cstheme="minorHAnsi"/>
          <w:sz w:val="18"/>
        </w:rPr>
        <w:footnoteRef/>
      </w:r>
      <w:r>
        <w:rPr>
          <w:sz w:val="18"/>
        </w:rPr>
        <w:t xml:space="preserve"> </w:t>
      </w:r>
      <w:r>
        <w:tab/>
      </w:r>
      <w:r w:rsidRPr="000D715C">
        <w:rPr>
          <w:sz w:val="18"/>
          <w:szCs w:val="18"/>
        </w:rPr>
        <w:t xml:space="preserve">Regolamento (UE) n. 575/2013, del Parlamento europeo e del Consiglio, del 26 giugno 2013, relativo ai requisiti prudenziali per gli enti creditizi e le imprese di investimento e che modifica il regolamento (UE) n. 648/2012, come modificato dal regolamento (UE) 2024/1623 </w:t>
      </w:r>
      <w:r w:rsidRPr="000D715C">
        <w:rPr>
          <w:color w:val="444444"/>
          <w:sz w:val="18"/>
          <w:szCs w:val="18"/>
        </w:rPr>
        <w:t>(</w:t>
      </w:r>
      <w:hyperlink r:id="rId1" w:history="1">
        <w:r w:rsidRPr="000D715C">
          <w:rPr>
            <w:color w:val="800080"/>
            <w:sz w:val="18"/>
            <w:szCs w:val="18"/>
            <w:u w:val="single"/>
          </w:rPr>
          <w:t>GU L 176 del 27.6.2013, pag. 1</w:t>
        </w:r>
      </w:hyperlink>
      <w:r w:rsidRPr="000D715C">
        <w:rPr>
          <w:color w:val="444444"/>
          <w:sz w:val="18"/>
          <w:szCs w:val="18"/>
        </w:rPr>
        <w:t>)</w:t>
      </w:r>
      <w:r w:rsidRPr="000D715C">
        <w:rPr>
          <w:sz w:val="18"/>
          <w:szCs w:val="18"/>
        </w:rPr>
        <w:t>.</w:t>
      </w:r>
      <w:r w:rsidRPr="000D715C">
        <w:rPr>
          <w:color w:val="800080"/>
          <w:sz w:val="18"/>
          <w:szCs w:val="18"/>
          <w:u w:val="single"/>
        </w:rPr>
        <w:t xml:space="preserve"> </w:t>
      </w:r>
      <w:hyperlink r:id="rId2" w:history="1">
        <w:r w:rsidRPr="000D715C">
          <w:rPr>
            <w:rStyle w:val="Hyperlink"/>
            <w:sz w:val="18"/>
            <w:szCs w:val="18"/>
          </w:rPr>
          <w:t>Regolamento - EU - 2024/1623 - IT - EUR-Lex (europa.eu)</w:t>
        </w:r>
      </w:hyperlink>
      <w:r w:rsidRPr="000D715C">
        <w:rPr>
          <w:color w:val="444444"/>
          <w:sz w:val="18"/>
          <w:szCs w:val="18"/>
        </w:rPr>
        <w:t>)</w:t>
      </w:r>
      <w:r w:rsidRPr="000D715C">
        <w:rPr>
          <w:sz w:val="18"/>
          <w:szCs w:val="18"/>
        </w:rPr>
        <w:t>.</w:t>
      </w:r>
    </w:p>
    <w:p w14:paraId="00404E50" w14:textId="647BF648" w:rsidR="00C85971" w:rsidRPr="00222AAB" w:rsidRDefault="00C85971" w:rsidP="00C85971">
      <w:pPr>
        <w:pStyle w:val="FootnoteText"/>
        <w:rPr>
          <w:rFonts w:cstheme="minorHAnsi"/>
        </w:rPr>
      </w:pPr>
    </w:p>
    <w:p w14:paraId="3E08FCB9" w14:textId="77777777" w:rsidR="00C85971" w:rsidRPr="00222AAB" w:rsidRDefault="00C85971" w:rsidP="00C85971">
      <w:pPr>
        <w:pStyle w:val="FootnoteText"/>
        <w:rPr>
          <w:rFonts w:cstheme="minorHAnsi"/>
        </w:rPr>
      </w:pPr>
    </w:p>
  </w:footnote>
  <w:footnote w:id="2">
    <w:p w14:paraId="79D41EBF" w14:textId="77777777" w:rsidR="00C85971" w:rsidRPr="00222AAB" w:rsidRDefault="00C85971" w:rsidP="00C85971">
      <w:pPr>
        <w:pStyle w:val="FootnoteText"/>
        <w:rPr>
          <w:rFonts w:cstheme="minorHAnsi"/>
        </w:rPr>
      </w:pPr>
    </w:p>
    <w:p w14:paraId="59AC6FEF" w14:textId="77777777" w:rsidR="00C85971" w:rsidRPr="00222AAB" w:rsidRDefault="00C85971" w:rsidP="00C85971">
      <w:pPr>
        <w:pStyle w:val="FootnoteText"/>
        <w:rPr>
          <w:rFonts w:cstheme="minorHAnsi"/>
        </w:rPr>
      </w:pPr>
    </w:p>
  </w:footnote>
  <w:footnote w:id="3">
    <w:p w14:paraId="474F090D" w14:textId="77777777" w:rsidR="00C85971" w:rsidRPr="00222AAB" w:rsidRDefault="00C85971" w:rsidP="00C85971">
      <w:pPr>
        <w:pStyle w:val="FootnoteText"/>
        <w:rPr>
          <w:rFonts w:cstheme="minorHAnsi"/>
        </w:rPr>
      </w:pPr>
      <w:r>
        <w:rPr>
          <w:rStyle w:val="FootnoteReference"/>
          <w:rFonts w:cstheme="minorHAnsi"/>
        </w:rPr>
        <w:footnoteRef/>
      </w:r>
      <w:r>
        <w:t xml:space="preserve"> </w:t>
      </w:r>
      <w:r>
        <w:tab/>
        <w:t xml:space="preserve">Direttiva (UE) </w:t>
      </w:r>
      <w:r w:rsidRPr="000D715C">
        <w:t>2019</w:t>
      </w:r>
      <w:r>
        <w:t>/</w:t>
      </w:r>
      <w:r w:rsidRPr="000D715C">
        <w:t>879</w:t>
      </w:r>
      <w:r>
        <w:t xml:space="preserve"> del Parlamento europeo e del Consiglio, del </w:t>
      </w:r>
      <w:r w:rsidRPr="000D715C">
        <w:t>20</w:t>
      </w:r>
      <w:r>
        <w:t xml:space="preserve"> maggio </w:t>
      </w:r>
      <w:r w:rsidRPr="000D715C">
        <w:t>2019</w:t>
      </w:r>
      <w:r>
        <w:t xml:space="preserve">, che modifica la direttiva </w:t>
      </w:r>
      <w:r w:rsidRPr="000D715C">
        <w:t>2014</w:t>
      </w:r>
      <w:r>
        <w:t>/</w:t>
      </w:r>
      <w:r w:rsidRPr="000D715C">
        <w:t>59</w:t>
      </w:r>
      <w:r>
        <w:t xml:space="preserve">/UE per quanto riguarda la capacità di assorbimento di perdite e di ricapitalizzazione degli enti creditizi e delle imprese di investimento e la direttiva </w:t>
      </w:r>
      <w:r w:rsidRPr="000D715C">
        <w:t>98</w:t>
      </w:r>
      <w:r>
        <w:t>/</w:t>
      </w:r>
      <w:r w:rsidRPr="000D715C">
        <w:t>26</w:t>
      </w:r>
      <w:r>
        <w:t xml:space="preserve">/CE (GU L </w:t>
      </w:r>
      <w:r w:rsidRPr="000D715C">
        <w:t>150</w:t>
      </w:r>
      <w:r>
        <w:t xml:space="preserve"> del </w:t>
      </w:r>
      <w:r w:rsidRPr="000D715C">
        <w:t>7</w:t>
      </w:r>
      <w:r>
        <w:t>.</w:t>
      </w:r>
      <w:r w:rsidRPr="000D715C">
        <w:t>6</w:t>
      </w:r>
      <w:r>
        <w:t>.</w:t>
      </w:r>
      <w:r w:rsidRPr="000D715C">
        <w:t>2019</w:t>
      </w:r>
      <w:r>
        <w:t xml:space="preserve">, pag. </w:t>
      </w:r>
      <w:r w:rsidRPr="000D715C">
        <w:t>296</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D79B" w14:textId="2F5C3B73" w:rsidR="00C85971" w:rsidRDefault="00E05386">
    <w:pPr>
      <w:pStyle w:val="Header"/>
    </w:pPr>
    <w:r>
      <w:rPr>
        <w:noProof/>
      </w:rPr>
      <mc:AlternateContent>
        <mc:Choice Requires="wps">
          <w:drawing>
            <wp:anchor distT="0" distB="0" distL="0" distR="0" simplePos="0" relativeHeight="251659264" behindDoc="0" locked="0" layoutInCell="1" allowOverlap="1" wp14:anchorId="00618692" wp14:editId="0C4D650A">
              <wp:simplePos x="635" y="635"/>
              <wp:positionH relativeFrom="page">
                <wp:align>left</wp:align>
              </wp:positionH>
              <wp:positionV relativeFrom="page">
                <wp:align>top</wp:align>
              </wp:positionV>
              <wp:extent cx="1273175" cy="376555"/>
              <wp:effectExtent l="0" t="0" r="3175" b="4445"/>
              <wp:wrapNone/>
              <wp:docPr id="1778809381"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0618692" id="_x0000_t202" coordsize="21600,21600" o:spt="202" path="m,l,21600r21600,l21600,xe">
              <v:stroke joinstyle="miter"/>
              <v:path gradientshapeok="t" o:connecttype="rect"/>
            </v:shapetype>
            <v:shape id="Text Box 2" o:spid="_x0000_s1026" type="#_x0000_t202" alt="Per l'uso ordinario dell'ABE"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textbox style="mso-fit-shape-to-text:t" inset="20pt,15pt,0,0">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Per l'uso ordinario dell'ABE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EB7C" w14:textId="3473DD13" w:rsidR="00C85971" w:rsidRDefault="00E05386">
    <w:pPr>
      <w:pStyle w:val="Header"/>
    </w:pPr>
    <w:r>
      <w:rPr>
        <w:noProof/>
      </w:rPr>
      <mc:AlternateContent>
        <mc:Choice Requires="wps">
          <w:drawing>
            <wp:anchor distT="0" distB="0" distL="0" distR="0" simplePos="0" relativeHeight="251660288" behindDoc="0" locked="0" layoutInCell="1" allowOverlap="1" wp14:anchorId="5BF4F239" wp14:editId="776ABDFC">
              <wp:simplePos x="1076325" y="447675"/>
              <wp:positionH relativeFrom="page">
                <wp:align>left</wp:align>
              </wp:positionH>
              <wp:positionV relativeFrom="page">
                <wp:align>top</wp:align>
              </wp:positionV>
              <wp:extent cx="1273175" cy="376555"/>
              <wp:effectExtent l="0" t="0" r="3175" b="4445"/>
              <wp:wrapNone/>
              <wp:docPr id="5229062"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960CC8F" w14:textId="21946EF4" w:rsidR="00E05386" w:rsidRPr="00E05386" w:rsidRDefault="00E05386" w:rsidP="00E05386">
                          <w:pPr>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BF4F239" id="_x0000_t202" coordsize="21600,21600" o:spt="202" path="m,l,21600r21600,l21600,xe">
              <v:stroke joinstyle="miter"/>
              <v:path gradientshapeok="t" o:connecttype="rect"/>
            </v:shapetype>
            <v:shape id="Text Box 3" o:spid="_x0000_s1027" type="#_x0000_t202" alt="Per l'uso ordinario dell'ABE"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4960CC8F" w14:textId="21946EF4" w:rsidR="00E05386" w:rsidRPr="00E05386" w:rsidRDefault="00E05386" w:rsidP="00E05386">
                    <w:pPr>
                      <w:rPr>
                        <w:rFonts w:ascii="Calibri" w:eastAsia="Calibri" w:hAnsi="Calibri" w:cs="Calibri"/>
                        <w:noProof/>
                        <w:color w:val="000000"/>
                        <w:sz w:val="24"/>
                      </w:rPr>
                    </w:pPr>
                    <w:r>
                      <w:rPr>
                        <w:rFonts w:ascii="Calibri" w:hAnsi="Calibri"/>
                        <w:color w:val="000000"/>
                        <w:sz w:val="24"/>
                      </w:rPr>
                      <w:t>Per l'uso ordinario dell'ABE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87E1" w14:textId="641F5E3F" w:rsidR="00C85971" w:rsidRDefault="00E05386">
    <w:pPr>
      <w:pStyle w:val="Header"/>
    </w:pPr>
    <w:r>
      <w:rPr>
        <w:noProof/>
      </w:rPr>
      <mc:AlternateContent>
        <mc:Choice Requires="wps">
          <w:drawing>
            <wp:anchor distT="0" distB="0" distL="0" distR="0" simplePos="0" relativeHeight="251658240" behindDoc="0" locked="0" layoutInCell="1" allowOverlap="1" wp14:anchorId="226F87F5" wp14:editId="24620C14">
              <wp:simplePos x="635" y="635"/>
              <wp:positionH relativeFrom="page">
                <wp:align>left</wp:align>
              </wp:positionH>
              <wp:positionV relativeFrom="page">
                <wp:align>top</wp:align>
              </wp:positionV>
              <wp:extent cx="1273175" cy="376555"/>
              <wp:effectExtent l="0" t="0" r="3175" b="4445"/>
              <wp:wrapNone/>
              <wp:docPr id="1899883283"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26F87F5" id="_x0000_t202" coordsize="21600,21600" o:spt="202" path="m,l,21600r21600,l21600,xe">
              <v:stroke joinstyle="miter"/>
              <v:path gradientshapeok="t" o:connecttype="rect"/>
            </v:shapetype>
            <v:shape id="Text Box 1" o:spid="_x0000_s1028" type="#_x0000_t202" alt="Per l'uso ordinario dell'ABE"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" filled="f" stroked="f">
              <v:textbox style="mso-fit-shape-to-text:t" inset="20pt,15pt,0,0">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Per l'uso ordinario dell'ABE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12932861">
    <w:abstractNumId w:val="1"/>
  </w:num>
  <w:num w:numId="2" w16cid:durableId="30541397">
    <w:abstractNumId w:val="2"/>
  </w:num>
  <w:num w:numId="3" w16cid:durableId="52482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it-IT" w:vendorID="64" w:dllVersion="0" w:nlCheck="1" w:checkStyle="0"/>
  <w:proofState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92165"/>
    <w:rsid w:val="000D715C"/>
    <w:rsid w:val="00147591"/>
    <w:rsid w:val="0023015D"/>
    <w:rsid w:val="004E3F4D"/>
    <w:rsid w:val="005424B9"/>
    <w:rsid w:val="007B2A0E"/>
    <w:rsid w:val="0085507F"/>
    <w:rsid w:val="00992165"/>
    <w:rsid w:val="00A30CA5"/>
    <w:rsid w:val="00B72562"/>
    <w:rsid w:val="00C85971"/>
    <w:rsid w:val="00D54D58"/>
    <w:rsid w:val="00E05386"/>
    <w:rsid w:val="00F31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29EBD"/>
  <w15:chartTrackingRefBased/>
  <w15:docId w15:val="{45AD9854-D011-46A8-A2C2-0C983E6A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97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8597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85971"/>
    <w:rPr>
      <w:rFonts w:eastAsiaTheme="minorEastAsia"/>
      <w:sz w:val="18"/>
      <w:szCs w:val="18"/>
      <w:lang w:val="it-I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85971"/>
    <w:rPr>
      <w:rFonts w:asciiTheme="minorHAnsi" w:hAnsiTheme="minorHAnsi"/>
      <w:sz w:val="22"/>
      <w:szCs w:val="18"/>
      <w:vertAlign w:val="superscript"/>
    </w:rPr>
  </w:style>
  <w:style w:type="character" w:styleId="Hyperlink">
    <w:name w:val="Hyperlink"/>
    <w:basedOn w:val="DefaultParagraphFont"/>
    <w:uiPriority w:val="99"/>
    <w:rsid w:val="00C85971"/>
    <w:rPr>
      <w:color w:val="0563C1" w:themeColor="hyperlink"/>
      <w:u w:val="single"/>
    </w:rPr>
  </w:style>
  <w:style w:type="paragraph" w:customStyle="1" w:styleId="numberedparagraph">
    <w:name w:val="numbered paragraph"/>
    <w:basedOn w:val="Normal"/>
    <w:qFormat/>
    <w:rsid w:val="00C85971"/>
    <w:pPr>
      <w:numPr>
        <w:numId w:val="1"/>
      </w:numPr>
      <w:spacing w:before="240" w:after="120" w:line="276" w:lineRule="auto"/>
      <w:jc w:val="both"/>
    </w:pPr>
  </w:style>
  <w:style w:type="paragraph" w:customStyle="1" w:styleId="Annexetitre">
    <w:name w:val="Annexe titre"/>
    <w:basedOn w:val="Normal"/>
    <w:next w:val="Normal"/>
    <w:rsid w:val="00C85971"/>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C85971"/>
    <w:pPr>
      <w:ind w:left="720"/>
    </w:pPr>
    <w:rPr>
      <w:rFonts w:ascii="Calibri" w:eastAsia="Calibri" w:hAnsi="Calibri" w:cs="Times New Roman"/>
      <w:szCs w:val="22"/>
    </w:rPr>
  </w:style>
  <w:style w:type="paragraph" w:customStyle="1" w:styleId="TableTitle">
    <w:name w:val="TableTitle"/>
    <w:basedOn w:val="Normal"/>
    <w:next w:val="Normal"/>
    <w:link w:val="TableTitleChar"/>
    <w:rsid w:val="00C85971"/>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85971"/>
    <w:rPr>
      <w:rFonts w:ascii="Arial" w:eastAsia="MS Mincho" w:hAnsi="Arial" w:cs="Times New Roman"/>
      <w:b/>
      <w:noProof/>
      <w:szCs w:val="20"/>
    </w:rPr>
  </w:style>
  <w:style w:type="paragraph" w:styleId="Header">
    <w:name w:val="header"/>
    <w:basedOn w:val="Normal"/>
    <w:link w:val="HeaderChar"/>
    <w:uiPriority w:val="99"/>
    <w:unhideWhenUsed/>
    <w:rsid w:val="00C85971"/>
    <w:pPr>
      <w:tabs>
        <w:tab w:val="center" w:pos="4513"/>
        <w:tab w:val="right" w:pos="9026"/>
      </w:tabs>
    </w:pPr>
  </w:style>
  <w:style w:type="character" w:customStyle="1" w:styleId="HeaderChar">
    <w:name w:val="Header Char"/>
    <w:basedOn w:val="DefaultParagraphFont"/>
    <w:link w:val="Header"/>
    <w:uiPriority w:val="99"/>
    <w:rsid w:val="00C85971"/>
    <w:rPr>
      <w:rFonts w:eastAsiaTheme="minorEastAsia"/>
      <w:szCs w:val="24"/>
    </w:rPr>
  </w:style>
  <w:style w:type="paragraph" w:styleId="Footer">
    <w:name w:val="footer"/>
    <w:basedOn w:val="Normal"/>
    <w:link w:val="FooterChar"/>
    <w:uiPriority w:val="99"/>
    <w:unhideWhenUsed/>
    <w:rsid w:val="00C85971"/>
    <w:pPr>
      <w:tabs>
        <w:tab w:val="center" w:pos="4513"/>
        <w:tab w:val="right" w:pos="9026"/>
      </w:tabs>
    </w:pPr>
  </w:style>
  <w:style w:type="character" w:customStyle="1" w:styleId="FooterChar">
    <w:name w:val="Footer Char"/>
    <w:basedOn w:val="DefaultParagraphFont"/>
    <w:link w:val="Footer"/>
    <w:uiPriority w:val="99"/>
    <w:rsid w:val="00C85971"/>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1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IT/TXT/?uri=OJ:L_202401623" TargetMode="External"/><Relationship Id="rId1" Type="http://schemas.openxmlformats.org/officeDocument/2006/relationships/hyperlink" Target="https://eur-lex.europa.eu/legal-content/IT/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76C46B-BACA-4B13-8003-9F89B4C42DF9}"/>
</file>

<file path=customXml/itemProps2.xml><?xml version="1.0" encoding="utf-8"?>
<ds:datastoreItem xmlns:ds="http://schemas.openxmlformats.org/officeDocument/2006/customXml" ds:itemID="{993BB94B-EEDB-45DA-AEBA-695BF9A19583}"/>
</file>

<file path=customXml/itemProps3.xml><?xml version="1.0" encoding="utf-8"?>
<ds:datastoreItem xmlns:ds="http://schemas.openxmlformats.org/officeDocument/2006/customXml" ds:itemID="{FEA70197-F01C-40EA-A2C2-08A33E37E0F8}"/>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68</TotalTime>
  <Pages>25</Pages>
  <Words>7532</Words>
  <Characters>44520</Characters>
  <Application>Microsoft Office Word</Application>
  <DocSecurity>0</DocSecurity>
  <Lines>1035</Lines>
  <Paragraphs>598</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BASSETTI Silvia (DGT)</cp:lastModifiedBy>
  <cp:revision>7</cp:revision>
  <dcterms:created xsi:type="dcterms:W3CDTF">2021-03-11T11:52:00Z</dcterms:created>
  <dcterms:modified xsi:type="dcterms:W3CDTF">2024-10-16T08:52:00Z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713deb13,6a067a25,4fca06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2024-09-25T15:19:21Z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cd3cddb9-e889-4bbb-accd-ffb4f9292f32</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